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8B543" w14:textId="5F4086AB" w:rsidR="00526151" w:rsidRPr="00DF7C87" w:rsidRDefault="001613E0" w:rsidP="008949E3">
      <w:pPr>
        <w:pStyle w:val="Title"/>
        <w:rPr>
          <w:rFonts w:ascii="Times New Roman" w:hAnsi="Times New Roman" w:cs="Times New Roman"/>
          <w:szCs w:val="28"/>
        </w:rPr>
      </w:pPr>
      <w:r>
        <w:rPr>
          <w:rFonts w:ascii="Times New Roman" w:hAnsi="Times New Roman" w:cs="Times New Roman"/>
          <w:szCs w:val="28"/>
        </w:rPr>
        <w:t>Of Hosts and Habitats: The Ecological and Evolutionary Patterns of the Amphibian Skin Microbiome</w:t>
      </w:r>
    </w:p>
    <w:p w14:paraId="042E9DB1" w14:textId="77777777" w:rsidR="003D07F7" w:rsidRPr="00DF7C87" w:rsidRDefault="00DD00DE" w:rsidP="00387656">
      <w:pPr>
        <w:pStyle w:val="Title"/>
        <w:rPr>
          <w:rFonts w:ascii="Times New Roman" w:hAnsi="Times New Roman" w:cs="Times New Roman"/>
          <w:szCs w:val="28"/>
        </w:rPr>
      </w:pPr>
      <w:r w:rsidRPr="00DF7C87">
        <w:rPr>
          <w:rFonts w:ascii="Times New Roman" w:hAnsi="Times New Roman" w:cs="Times New Roman"/>
          <w:szCs w:val="28"/>
        </w:rPr>
        <w:tab/>
      </w:r>
    </w:p>
    <w:p w14:paraId="0B643452" w14:textId="77777777" w:rsidR="00236E6D" w:rsidRPr="00DF7C87" w:rsidRDefault="00236E6D" w:rsidP="00387656">
      <w:pPr>
        <w:pStyle w:val="Title"/>
        <w:rPr>
          <w:rFonts w:ascii="Times New Roman" w:hAnsi="Times New Roman" w:cs="Times New Roman"/>
          <w:sz w:val="24"/>
        </w:rPr>
      </w:pPr>
    </w:p>
    <w:p w14:paraId="1E37D6ED" w14:textId="77777777" w:rsidR="00236E6D" w:rsidRPr="00DF7C87" w:rsidRDefault="00236E6D" w:rsidP="00387656">
      <w:pPr>
        <w:pStyle w:val="Title"/>
        <w:rPr>
          <w:rFonts w:ascii="Times New Roman" w:hAnsi="Times New Roman" w:cs="Times New Roman"/>
          <w:sz w:val="24"/>
        </w:rPr>
      </w:pPr>
    </w:p>
    <w:p w14:paraId="5F3D1138" w14:textId="77777777" w:rsidR="00236E6D" w:rsidRPr="00DF7C87" w:rsidRDefault="00236E6D" w:rsidP="00387656">
      <w:pPr>
        <w:pStyle w:val="Title"/>
        <w:rPr>
          <w:rFonts w:ascii="Times New Roman" w:hAnsi="Times New Roman" w:cs="Times New Roman"/>
          <w:sz w:val="24"/>
        </w:rPr>
      </w:pPr>
    </w:p>
    <w:p w14:paraId="44CA8A5A" w14:textId="77777777" w:rsidR="00236E6D" w:rsidRPr="00DF7C87" w:rsidRDefault="00236E6D" w:rsidP="00387656">
      <w:pPr>
        <w:pStyle w:val="Title"/>
        <w:rPr>
          <w:rFonts w:ascii="Times New Roman" w:hAnsi="Times New Roman" w:cs="Times New Roman"/>
          <w:sz w:val="24"/>
        </w:rPr>
      </w:pPr>
    </w:p>
    <w:p w14:paraId="292A85F3" w14:textId="77777777" w:rsidR="00387656" w:rsidRPr="00DF7C87" w:rsidRDefault="00387656" w:rsidP="00387656">
      <w:pPr>
        <w:pStyle w:val="Title"/>
        <w:rPr>
          <w:rFonts w:ascii="Times New Roman" w:hAnsi="Times New Roman" w:cs="Times New Roman"/>
          <w:sz w:val="24"/>
        </w:rPr>
      </w:pPr>
    </w:p>
    <w:p w14:paraId="5F617A4A" w14:textId="77777777" w:rsidR="00387656" w:rsidRPr="00DF7C87" w:rsidRDefault="00387656" w:rsidP="00387656">
      <w:pPr>
        <w:pStyle w:val="Title"/>
        <w:rPr>
          <w:rFonts w:ascii="Times New Roman" w:hAnsi="Times New Roman" w:cs="Times New Roman"/>
          <w:sz w:val="24"/>
        </w:rPr>
      </w:pPr>
    </w:p>
    <w:p w14:paraId="399D5FDF" w14:textId="77777777" w:rsidR="00387656" w:rsidRPr="00DF7C87" w:rsidRDefault="00387656" w:rsidP="00387656">
      <w:pPr>
        <w:pStyle w:val="Title"/>
        <w:rPr>
          <w:rFonts w:ascii="Times New Roman" w:hAnsi="Times New Roman" w:cs="Times New Roman"/>
          <w:sz w:val="24"/>
        </w:rPr>
      </w:pPr>
    </w:p>
    <w:p w14:paraId="6573B292" w14:textId="77777777" w:rsidR="00387656" w:rsidRPr="00DF7C87" w:rsidRDefault="00387656" w:rsidP="00387656">
      <w:pPr>
        <w:pStyle w:val="Title"/>
        <w:rPr>
          <w:rFonts w:ascii="Times New Roman" w:hAnsi="Times New Roman" w:cs="Times New Roman"/>
          <w:sz w:val="24"/>
        </w:rPr>
      </w:pPr>
    </w:p>
    <w:p w14:paraId="22966C99" w14:textId="77777777" w:rsidR="00387656" w:rsidRPr="00DF7C87" w:rsidRDefault="00387656" w:rsidP="00387656">
      <w:pPr>
        <w:pStyle w:val="Title"/>
        <w:rPr>
          <w:rFonts w:ascii="Times New Roman" w:hAnsi="Times New Roman" w:cs="Times New Roman"/>
          <w:sz w:val="24"/>
        </w:rPr>
      </w:pPr>
    </w:p>
    <w:p w14:paraId="7FD0F016" w14:textId="77777777" w:rsidR="00387656" w:rsidRPr="00DF7C87" w:rsidRDefault="00387656" w:rsidP="00387656">
      <w:pPr>
        <w:pStyle w:val="Title"/>
        <w:rPr>
          <w:rFonts w:ascii="Times New Roman" w:hAnsi="Times New Roman" w:cs="Times New Roman"/>
          <w:sz w:val="24"/>
        </w:rPr>
      </w:pPr>
    </w:p>
    <w:p w14:paraId="0D977947" w14:textId="77777777" w:rsidR="00236E6D" w:rsidRPr="00DF7C87" w:rsidRDefault="00236E6D" w:rsidP="00387656">
      <w:pPr>
        <w:pStyle w:val="Title"/>
        <w:rPr>
          <w:rFonts w:ascii="Times New Roman" w:hAnsi="Times New Roman" w:cs="Times New Roman"/>
          <w:sz w:val="24"/>
        </w:rPr>
      </w:pPr>
    </w:p>
    <w:p w14:paraId="071440E2" w14:textId="77777777" w:rsidR="00236E6D" w:rsidRPr="00DF7C87" w:rsidRDefault="00236E6D" w:rsidP="00387656">
      <w:pPr>
        <w:pStyle w:val="Title"/>
        <w:rPr>
          <w:rFonts w:ascii="Times New Roman" w:hAnsi="Times New Roman" w:cs="Times New Roman"/>
          <w:sz w:val="24"/>
        </w:rPr>
      </w:pPr>
    </w:p>
    <w:p w14:paraId="2F09D866" w14:textId="77777777" w:rsidR="00236E6D" w:rsidRPr="00DF7C87" w:rsidRDefault="00236E6D" w:rsidP="00387656">
      <w:pPr>
        <w:pStyle w:val="Title"/>
        <w:jc w:val="left"/>
        <w:rPr>
          <w:rFonts w:ascii="Times New Roman" w:hAnsi="Times New Roman" w:cs="Times New Roman"/>
          <w:sz w:val="24"/>
        </w:rPr>
      </w:pPr>
    </w:p>
    <w:p w14:paraId="08E7BAB1" w14:textId="14F9D51A" w:rsidR="005C7015" w:rsidRPr="005C7015" w:rsidRDefault="005C7015" w:rsidP="005C7015">
      <w:pPr>
        <w:pStyle w:val="Title"/>
        <w:rPr>
          <w:rFonts w:ascii="Times New Roman" w:hAnsi="Times New Roman" w:cs="Times New Roman"/>
          <w:szCs w:val="28"/>
          <w:lang w:val="en-US"/>
        </w:rPr>
      </w:pPr>
      <w:r w:rsidRPr="005C7015">
        <w:rPr>
          <w:rFonts w:ascii="Times New Roman" w:hAnsi="Times New Roman" w:cs="Times New Roman"/>
          <w:szCs w:val="28"/>
          <w:lang w:val="en-US"/>
        </w:rPr>
        <w:t xml:space="preserve">A </w:t>
      </w:r>
      <w:r w:rsidR="00B64EE5">
        <w:rPr>
          <w:rFonts w:ascii="Times New Roman" w:hAnsi="Times New Roman" w:cs="Times New Roman"/>
          <w:szCs w:val="28"/>
          <w:lang w:val="en-US"/>
        </w:rPr>
        <w:t>Dissertation</w:t>
      </w:r>
      <w:r w:rsidRPr="005C7015">
        <w:rPr>
          <w:rFonts w:ascii="Times New Roman" w:hAnsi="Times New Roman" w:cs="Times New Roman"/>
          <w:szCs w:val="28"/>
          <w:lang w:val="en-US"/>
        </w:rPr>
        <w:t xml:space="preserve"> Presented for the</w:t>
      </w:r>
    </w:p>
    <w:p w14:paraId="3CF1D7B1" w14:textId="315D9148" w:rsidR="005C7015" w:rsidRPr="005C7015" w:rsidRDefault="005C7015" w:rsidP="005C7015">
      <w:pPr>
        <w:pStyle w:val="Title"/>
        <w:rPr>
          <w:rFonts w:ascii="Times New Roman" w:hAnsi="Times New Roman" w:cs="Times New Roman"/>
          <w:szCs w:val="28"/>
          <w:lang w:val="en-US"/>
        </w:rPr>
      </w:pPr>
      <w:r w:rsidRPr="005C7015">
        <w:rPr>
          <w:rFonts w:ascii="Times New Roman" w:hAnsi="Times New Roman" w:cs="Times New Roman"/>
          <w:szCs w:val="28"/>
          <w:lang w:val="en-US"/>
        </w:rPr>
        <w:t>Doctor of Philosophy</w:t>
      </w:r>
      <w:r w:rsidR="00B64EE5">
        <w:rPr>
          <w:rFonts w:ascii="Times New Roman" w:hAnsi="Times New Roman" w:cs="Times New Roman"/>
          <w:szCs w:val="28"/>
          <w:lang w:val="en-US"/>
        </w:rPr>
        <w:t xml:space="preserve"> </w:t>
      </w:r>
    </w:p>
    <w:p w14:paraId="24EC6E67" w14:textId="5F96AF06" w:rsidR="005C7015" w:rsidRPr="005C7015" w:rsidRDefault="00A732B7" w:rsidP="005C7015">
      <w:pPr>
        <w:pStyle w:val="Title"/>
        <w:rPr>
          <w:rFonts w:ascii="Times New Roman" w:hAnsi="Times New Roman" w:cs="Times New Roman"/>
          <w:szCs w:val="28"/>
          <w:lang w:val="en-US"/>
        </w:rPr>
      </w:pPr>
      <w:r>
        <w:rPr>
          <w:rFonts w:ascii="Times New Roman" w:hAnsi="Times New Roman" w:cs="Times New Roman"/>
          <w:szCs w:val="28"/>
          <w:lang w:val="en-US"/>
        </w:rPr>
        <w:t>Degree</w:t>
      </w:r>
    </w:p>
    <w:p w14:paraId="1D543BBD" w14:textId="77777777" w:rsidR="005C7015" w:rsidRPr="005C7015" w:rsidRDefault="005C7015" w:rsidP="005C7015">
      <w:pPr>
        <w:pStyle w:val="Title"/>
        <w:rPr>
          <w:rFonts w:ascii="Times New Roman" w:hAnsi="Times New Roman" w:cs="Times New Roman"/>
          <w:szCs w:val="28"/>
          <w:lang w:val="en-US"/>
        </w:rPr>
      </w:pPr>
      <w:r w:rsidRPr="005C7015">
        <w:rPr>
          <w:rFonts w:ascii="Times New Roman" w:hAnsi="Times New Roman" w:cs="Times New Roman"/>
          <w:szCs w:val="28"/>
          <w:lang w:val="en-US"/>
        </w:rPr>
        <w:t>The University of Tennessee, Knoxville</w:t>
      </w:r>
    </w:p>
    <w:p w14:paraId="62505360" w14:textId="77777777" w:rsidR="00387656" w:rsidRPr="00DF7C87" w:rsidRDefault="00387656" w:rsidP="00387656">
      <w:pPr>
        <w:pStyle w:val="Title"/>
        <w:rPr>
          <w:rFonts w:ascii="Times New Roman" w:hAnsi="Times New Roman" w:cs="Times New Roman"/>
          <w:szCs w:val="28"/>
        </w:rPr>
      </w:pPr>
    </w:p>
    <w:p w14:paraId="3E9B77A5" w14:textId="77777777" w:rsidR="00387656" w:rsidRPr="00DF7C87" w:rsidRDefault="00387656" w:rsidP="00387656">
      <w:pPr>
        <w:pStyle w:val="Title"/>
        <w:rPr>
          <w:rFonts w:ascii="Times New Roman" w:hAnsi="Times New Roman" w:cs="Times New Roman"/>
          <w:szCs w:val="28"/>
        </w:rPr>
      </w:pPr>
    </w:p>
    <w:p w14:paraId="6D49D2C0" w14:textId="77777777" w:rsidR="00387656" w:rsidRPr="00DF7C87" w:rsidRDefault="00387656" w:rsidP="00387656">
      <w:pPr>
        <w:pStyle w:val="Title"/>
        <w:rPr>
          <w:rFonts w:ascii="Times New Roman" w:hAnsi="Times New Roman" w:cs="Times New Roman"/>
          <w:szCs w:val="28"/>
        </w:rPr>
      </w:pPr>
    </w:p>
    <w:p w14:paraId="4426F979" w14:textId="77777777" w:rsidR="00236E6D" w:rsidRPr="00DF7C87" w:rsidRDefault="00236E6D" w:rsidP="00387656">
      <w:pPr>
        <w:pStyle w:val="Title"/>
        <w:rPr>
          <w:rFonts w:ascii="Times New Roman" w:hAnsi="Times New Roman" w:cs="Times New Roman"/>
          <w:szCs w:val="28"/>
        </w:rPr>
      </w:pPr>
    </w:p>
    <w:p w14:paraId="263D7C30" w14:textId="77777777" w:rsidR="00236E6D" w:rsidRPr="00DF7C87" w:rsidRDefault="00236E6D" w:rsidP="00387656">
      <w:pPr>
        <w:pStyle w:val="Title"/>
        <w:rPr>
          <w:rFonts w:ascii="Times New Roman" w:hAnsi="Times New Roman" w:cs="Times New Roman"/>
          <w:szCs w:val="28"/>
        </w:rPr>
      </w:pPr>
    </w:p>
    <w:p w14:paraId="1FD20020" w14:textId="77777777" w:rsidR="00236E6D" w:rsidRPr="00DF7C87" w:rsidRDefault="00236E6D" w:rsidP="00387656">
      <w:pPr>
        <w:pStyle w:val="Title"/>
        <w:rPr>
          <w:rFonts w:ascii="Times New Roman" w:hAnsi="Times New Roman" w:cs="Times New Roman"/>
          <w:szCs w:val="28"/>
        </w:rPr>
      </w:pPr>
    </w:p>
    <w:p w14:paraId="565B986D" w14:textId="77777777" w:rsidR="00236E6D" w:rsidRPr="00DF7C87" w:rsidRDefault="00236E6D" w:rsidP="00387656">
      <w:pPr>
        <w:pStyle w:val="Title"/>
        <w:rPr>
          <w:rFonts w:ascii="Times New Roman" w:hAnsi="Times New Roman" w:cs="Times New Roman"/>
          <w:szCs w:val="28"/>
        </w:rPr>
      </w:pPr>
    </w:p>
    <w:p w14:paraId="12F36E68" w14:textId="77777777" w:rsidR="00236E6D" w:rsidRPr="00DF7C87" w:rsidRDefault="00236E6D" w:rsidP="00387656">
      <w:pPr>
        <w:pStyle w:val="Title"/>
        <w:rPr>
          <w:rFonts w:ascii="Times New Roman" w:hAnsi="Times New Roman" w:cs="Times New Roman"/>
          <w:szCs w:val="28"/>
        </w:rPr>
      </w:pPr>
    </w:p>
    <w:p w14:paraId="1FDF5956" w14:textId="77777777" w:rsidR="00236E6D" w:rsidRPr="00DF7C87" w:rsidRDefault="00236E6D" w:rsidP="00387656">
      <w:pPr>
        <w:pStyle w:val="Title"/>
        <w:rPr>
          <w:rFonts w:ascii="Times New Roman" w:hAnsi="Times New Roman" w:cs="Times New Roman"/>
          <w:szCs w:val="28"/>
        </w:rPr>
      </w:pPr>
    </w:p>
    <w:p w14:paraId="5672EBA4" w14:textId="77777777" w:rsidR="00236E6D" w:rsidRPr="00DF7C87" w:rsidRDefault="00236E6D" w:rsidP="00387656">
      <w:pPr>
        <w:pStyle w:val="Title"/>
        <w:rPr>
          <w:rFonts w:ascii="Times New Roman" w:hAnsi="Times New Roman" w:cs="Times New Roman"/>
          <w:szCs w:val="28"/>
        </w:rPr>
      </w:pPr>
    </w:p>
    <w:p w14:paraId="11C6E3A6" w14:textId="77777777" w:rsidR="00236E6D" w:rsidRPr="00DF7C87" w:rsidRDefault="00236E6D" w:rsidP="00387656">
      <w:pPr>
        <w:pStyle w:val="Title"/>
        <w:rPr>
          <w:rFonts w:ascii="Times New Roman" w:hAnsi="Times New Roman" w:cs="Times New Roman"/>
          <w:szCs w:val="28"/>
        </w:rPr>
      </w:pPr>
    </w:p>
    <w:p w14:paraId="16180E74" w14:textId="77777777" w:rsidR="00236E6D" w:rsidRPr="00DF7C87" w:rsidRDefault="00236E6D" w:rsidP="00387656">
      <w:pPr>
        <w:pStyle w:val="Title"/>
        <w:rPr>
          <w:rFonts w:ascii="Times New Roman" w:hAnsi="Times New Roman" w:cs="Times New Roman"/>
          <w:szCs w:val="28"/>
        </w:rPr>
      </w:pPr>
    </w:p>
    <w:p w14:paraId="33EF45FE" w14:textId="77777777" w:rsidR="00236E6D" w:rsidRPr="00DF7C87" w:rsidRDefault="00236E6D" w:rsidP="00387656">
      <w:pPr>
        <w:pStyle w:val="Title"/>
        <w:rPr>
          <w:rFonts w:ascii="Times New Roman" w:hAnsi="Times New Roman" w:cs="Times New Roman"/>
          <w:szCs w:val="28"/>
        </w:rPr>
      </w:pPr>
    </w:p>
    <w:p w14:paraId="7D5CF08B" w14:textId="42C5F843" w:rsidR="00236E6D" w:rsidRPr="00DF7C87" w:rsidRDefault="005C7015" w:rsidP="00387656">
      <w:pPr>
        <w:pStyle w:val="Title"/>
        <w:rPr>
          <w:rFonts w:ascii="Times New Roman" w:hAnsi="Times New Roman" w:cs="Times New Roman"/>
          <w:szCs w:val="28"/>
        </w:rPr>
      </w:pPr>
      <w:r>
        <w:rPr>
          <w:rFonts w:ascii="Times New Roman" w:hAnsi="Times New Roman" w:cs="Times New Roman"/>
          <w:szCs w:val="28"/>
        </w:rPr>
        <w:t>Benjamin H</w:t>
      </w:r>
      <w:r w:rsidR="00B64EE5">
        <w:rPr>
          <w:rFonts w:ascii="Times New Roman" w:hAnsi="Times New Roman" w:cs="Times New Roman"/>
          <w:szCs w:val="28"/>
        </w:rPr>
        <w:t>ouston</w:t>
      </w:r>
      <w:r>
        <w:rPr>
          <w:rFonts w:ascii="Times New Roman" w:hAnsi="Times New Roman" w:cs="Times New Roman"/>
          <w:szCs w:val="28"/>
        </w:rPr>
        <w:t xml:space="preserve"> Holt</w:t>
      </w:r>
    </w:p>
    <w:p w14:paraId="71850B70" w14:textId="2C3F48A9" w:rsidR="009C755C" w:rsidRPr="00DF7C87" w:rsidRDefault="00C85236" w:rsidP="00387656">
      <w:pPr>
        <w:pStyle w:val="Title"/>
        <w:rPr>
          <w:rFonts w:ascii="Times New Roman" w:hAnsi="Times New Roman" w:cs="Times New Roman"/>
          <w:szCs w:val="28"/>
        </w:rPr>
      </w:pPr>
      <w:r>
        <w:rPr>
          <w:rFonts w:ascii="Times New Roman" w:hAnsi="Times New Roman" w:cs="Times New Roman"/>
          <w:szCs w:val="28"/>
        </w:rPr>
        <w:t xml:space="preserve">May </w:t>
      </w:r>
      <w:r w:rsidR="005C7015">
        <w:rPr>
          <w:rFonts w:ascii="Times New Roman" w:hAnsi="Times New Roman" w:cs="Times New Roman"/>
          <w:szCs w:val="28"/>
        </w:rPr>
        <w:t>202</w:t>
      </w:r>
      <w:r w:rsidR="00546D56">
        <w:rPr>
          <w:rFonts w:ascii="Times New Roman" w:hAnsi="Times New Roman" w:cs="Times New Roman"/>
          <w:szCs w:val="28"/>
        </w:rPr>
        <w:t>4</w:t>
      </w:r>
    </w:p>
    <w:p w14:paraId="1814CD23" w14:textId="77777777" w:rsidR="00526151" w:rsidRPr="00DF7C87" w:rsidRDefault="00526151" w:rsidP="005E54E2">
      <w:pPr>
        <w:rPr>
          <w:rFonts w:ascii="Times New Roman" w:hAnsi="Times New Roman" w:cs="Times New Roman"/>
          <w:sz w:val="28"/>
          <w:szCs w:val="28"/>
        </w:rPr>
      </w:pPr>
    </w:p>
    <w:p w14:paraId="710E7E85" w14:textId="77777777" w:rsidR="00526151" w:rsidRPr="00DF7C87" w:rsidRDefault="00526151" w:rsidP="005E54E2">
      <w:pPr>
        <w:rPr>
          <w:rFonts w:ascii="Times New Roman" w:hAnsi="Times New Roman" w:cs="Times New Roman"/>
        </w:rPr>
      </w:pPr>
    </w:p>
    <w:p w14:paraId="5418A71B" w14:textId="77777777" w:rsidR="00526151" w:rsidRPr="00DF7C87" w:rsidRDefault="00387656" w:rsidP="005E54E2">
      <w:pPr>
        <w:rPr>
          <w:rFonts w:ascii="Times New Roman" w:hAnsi="Times New Roman" w:cs="Times New Roman"/>
        </w:rPr>
      </w:pPr>
      <w:r w:rsidRPr="00DF7C87">
        <w:rPr>
          <w:rFonts w:ascii="Times New Roman" w:hAnsi="Times New Roman" w:cs="Times New Roman"/>
        </w:rPr>
        <w:br w:type="page"/>
      </w:r>
    </w:p>
    <w:p w14:paraId="477F6FDF" w14:textId="4E014CEB" w:rsidR="00236E6D" w:rsidRPr="00DF7C87" w:rsidRDefault="00DF7C87" w:rsidP="005E54E2">
      <w:pPr>
        <w:rPr>
          <w:rFonts w:ascii="Times New Roman" w:hAnsi="Times New Roman" w:cs="Times New Roman"/>
        </w:rPr>
      </w:pPr>
      <w:r>
        <w:rPr>
          <w:rFonts w:ascii="Times New Roman" w:hAnsi="Times New Roman" w:cs="Times New Roman"/>
        </w:rPr>
        <w:lastRenderedPageBreak/>
        <w:t>Copyright © 202</w:t>
      </w:r>
      <w:r w:rsidR="00C85236">
        <w:rPr>
          <w:rFonts w:ascii="Times New Roman" w:hAnsi="Times New Roman" w:cs="Times New Roman"/>
        </w:rPr>
        <w:t>4</w:t>
      </w:r>
      <w:r w:rsidR="00236E6D" w:rsidRPr="00DF7C87">
        <w:rPr>
          <w:rFonts w:ascii="Times New Roman" w:hAnsi="Times New Roman" w:cs="Times New Roman"/>
        </w:rPr>
        <w:t xml:space="preserve"> by </w:t>
      </w:r>
      <w:r w:rsidR="00B64EE5">
        <w:rPr>
          <w:rFonts w:ascii="Times New Roman" w:hAnsi="Times New Roman" w:cs="Times New Roman"/>
        </w:rPr>
        <w:t>Benjamin Houston Holt</w:t>
      </w:r>
    </w:p>
    <w:p w14:paraId="7EF395E6" w14:textId="77777777" w:rsidR="00236E6D" w:rsidRPr="00DF7C87" w:rsidRDefault="00236E6D" w:rsidP="005E54E2">
      <w:pPr>
        <w:rPr>
          <w:rFonts w:ascii="Times New Roman" w:hAnsi="Times New Roman" w:cs="Times New Roman"/>
        </w:rPr>
      </w:pPr>
      <w:r w:rsidRPr="00DF7C87">
        <w:rPr>
          <w:rFonts w:ascii="Times New Roman" w:hAnsi="Times New Roman" w:cs="Times New Roman"/>
        </w:rPr>
        <w:t>All rights reserved.</w:t>
      </w:r>
    </w:p>
    <w:p w14:paraId="61CA9B3A" w14:textId="77777777" w:rsidR="00236E6D" w:rsidRPr="00DF7C87" w:rsidRDefault="00236E6D" w:rsidP="005E54E2">
      <w:pPr>
        <w:rPr>
          <w:rFonts w:ascii="Times New Roman" w:hAnsi="Times New Roman" w:cs="Times New Roman"/>
        </w:rPr>
      </w:pPr>
    </w:p>
    <w:p w14:paraId="34B1F7E2" w14:textId="77777777" w:rsidR="00236E6D" w:rsidRPr="00DF7C87" w:rsidRDefault="00236E6D" w:rsidP="005E54E2">
      <w:pPr>
        <w:rPr>
          <w:rFonts w:ascii="Times New Roman" w:hAnsi="Times New Roman" w:cs="Times New Roman"/>
        </w:rPr>
      </w:pPr>
    </w:p>
    <w:p w14:paraId="2A7F5D96" w14:textId="77777777" w:rsidR="00236E6D" w:rsidRPr="00DF7C87" w:rsidRDefault="00236E6D" w:rsidP="005E54E2">
      <w:pPr>
        <w:rPr>
          <w:rFonts w:ascii="Times New Roman" w:hAnsi="Times New Roman" w:cs="Times New Roman"/>
        </w:rPr>
      </w:pPr>
    </w:p>
    <w:p w14:paraId="73361E14" w14:textId="77777777" w:rsidR="00236E6D" w:rsidRPr="00DF7C87" w:rsidRDefault="00236E6D" w:rsidP="005E54E2">
      <w:pPr>
        <w:rPr>
          <w:rFonts w:ascii="Times New Roman" w:hAnsi="Times New Roman" w:cs="Times New Roman"/>
        </w:rPr>
      </w:pPr>
    </w:p>
    <w:p w14:paraId="7E2CD641" w14:textId="77777777" w:rsidR="00236E6D" w:rsidRPr="00DF7C87" w:rsidRDefault="00236E6D" w:rsidP="005E54E2">
      <w:pPr>
        <w:rPr>
          <w:rFonts w:ascii="Times New Roman" w:hAnsi="Times New Roman" w:cs="Times New Roman"/>
        </w:rPr>
      </w:pPr>
    </w:p>
    <w:p w14:paraId="19247885" w14:textId="77777777" w:rsidR="00236E6D" w:rsidRPr="00DF7C87" w:rsidRDefault="00236E6D" w:rsidP="005E54E2">
      <w:pPr>
        <w:rPr>
          <w:rFonts w:ascii="Times New Roman" w:hAnsi="Times New Roman" w:cs="Times New Roman"/>
        </w:rPr>
      </w:pPr>
    </w:p>
    <w:p w14:paraId="2730585D" w14:textId="77777777" w:rsidR="00236E6D" w:rsidRPr="00DF7C87" w:rsidRDefault="00236E6D" w:rsidP="005E54E2">
      <w:pPr>
        <w:rPr>
          <w:rFonts w:ascii="Times New Roman" w:hAnsi="Times New Roman" w:cs="Times New Roman"/>
        </w:rPr>
      </w:pPr>
    </w:p>
    <w:p w14:paraId="04BABDA8" w14:textId="77777777" w:rsidR="00236E6D" w:rsidRPr="00DF7C87" w:rsidRDefault="00236E6D" w:rsidP="005E54E2">
      <w:pPr>
        <w:rPr>
          <w:rFonts w:ascii="Times New Roman" w:hAnsi="Times New Roman" w:cs="Times New Roman"/>
        </w:rPr>
      </w:pPr>
    </w:p>
    <w:p w14:paraId="0B0A8FA8" w14:textId="77777777" w:rsidR="00236E6D" w:rsidRPr="00DF7C87" w:rsidRDefault="00236E6D" w:rsidP="005E54E2">
      <w:pPr>
        <w:rPr>
          <w:rFonts w:ascii="Times New Roman" w:hAnsi="Times New Roman" w:cs="Times New Roman"/>
        </w:rPr>
      </w:pPr>
    </w:p>
    <w:p w14:paraId="2F35C74C" w14:textId="77777777" w:rsidR="00236E6D" w:rsidRPr="00DF7C87" w:rsidRDefault="00236E6D" w:rsidP="005E54E2">
      <w:pPr>
        <w:rPr>
          <w:rFonts w:ascii="Times New Roman" w:hAnsi="Times New Roman" w:cs="Times New Roman"/>
        </w:rPr>
      </w:pPr>
    </w:p>
    <w:p w14:paraId="3D2B68FB" w14:textId="77777777" w:rsidR="00236E6D" w:rsidRPr="00DF7C87" w:rsidRDefault="00236E6D" w:rsidP="005E54E2">
      <w:pPr>
        <w:rPr>
          <w:rFonts w:ascii="Times New Roman" w:hAnsi="Times New Roman" w:cs="Times New Roman"/>
        </w:rPr>
      </w:pPr>
    </w:p>
    <w:p w14:paraId="45672BC4" w14:textId="77777777" w:rsidR="00236E6D" w:rsidRPr="00DF7C87" w:rsidRDefault="00236E6D" w:rsidP="005E54E2">
      <w:pPr>
        <w:rPr>
          <w:rFonts w:ascii="Times New Roman" w:hAnsi="Times New Roman" w:cs="Times New Roman"/>
        </w:rPr>
      </w:pPr>
    </w:p>
    <w:p w14:paraId="2206DC17" w14:textId="77777777" w:rsidR="00236E6D" w:rsidRPr="00DF7C87" w:rsidRDefault="00236E6D" w:rsidP="005E54E2">
      <w:pPr>
        <w:rPr>
          <w:rFonts w:ascii="Times New Roman" w:hAnsi="Times New Roman" w:cs="Times New Roman"/>
        </w:rPr>
      </w:pPr>
    </w:p>
    <w:p w14:paraId="7C3628AE" w14:textId="77777777" w:rsidR="00236E6D" w:rsidRPr="00DF7C87" w:rsidRDefault="00236E6D" w:rsidP="005E54E2">
      <w:pPr>
        <w:rPr>
          <w:rFonts w:ascii="Times New Roman" w:hAnsi="Times New Roman" w:cs="Times New Roman"/>
        </w:rPr>
      </w:pPr>
    </w:p>
    <w:p w14:paraId="44C3A29B" w14:textId="77777777" w:rsidR="006F5AA4" w:rsidRPr="00060A6A" w:rsidRDefault="00236E6D" w:rsidP="00387656">
      <w:pPr>
        <w:pStyle w:val="Title"/>
        <w:rPr>
          <w:rFonts w:ascii="Times New Roman" w:hAnsi="Times New Roman" w:cs="Times New Roman"/>
          <w:szCs w:val="28"/>
        </w:rPr>
      </w:pPr>
      <w:r w:rsidRPr="00DF7C87">
        <w:rPr>
          <w:rFonts w:ascii="Times New Roman" w:hAnsi="Times New Roman" w:cs="Times New Roman"/>
          <w:sz w:val="24"/>
        </w:rPr>
        <w:br w:type="page"/>
      </w:r>
      <w:r w:rsidR="006F5AA4" w:rsidRPr="00060A6A">
        <w:rPr>
          <w:rFonts w:ascii="Times New Roman" w:hAnsi="Times New Roman" w:cs="Times New Roman"/>
          <w:szCs w:val="28"/>
        </w:rPr>
        <w:lastRenderedPageBreak/>
        <w:t>DEDICATION</w:t>
      </w:r>
    </w:p>
    <w:p w14:paraId="659A9C86" w14:textId="77777777" w:rsidR="00904969" w:rsidRPr="00DF7C87" w:rsidRDefault="00904969" w:rsidP="004721E4">
      <w:pPr>
        <w:rPr>
          <w:rFonts w:ascii="Times New Roman" w:hAnsi="Times New Roman" w:cs="Times New Roman"/>
        </w:rPr>
      </w:pPr>
    </w:p>
    <w:p w14:paraId="0A8631BF" w14:textId="28F31D4F" w:rsidR="00C142FA" w:rsidRDefault="00C142FA" w:rsidP="00B85FE2">
      <w:pPr>
        <w:ind w:firstLine="720"/>
        <w:jc w:val="both"/>
        <w:rPr>
          <w:rFonts w:ascii="Times New Roman" w:hAnsi="Times New Roman" w:cs="Times New Roman"/>
        </w:rPr>
      </w:pPr>
      <w:r>
        <w:rPr>
          <w:rFonts w:ascii="Times New Roman" w:hAnsi="Times New Roman" w:cs="Times New Roman"/>
        </w:rPr>
        <w:t xml:space="preserve">To my parents, whose unwavering support and encouragement over the years and </w:t>
      </w:r>
    </w:p>
    <w:p w14:paraId="5F84DE11" w14:textId="1C33D2D6" w:rsidR="00C142FA" w:rsidRDefault="00C142FA" w:rsidP="00B85FE2">
      <w:pPr>
        <w:jc w:val="both"/>
        <w:rPr>
          <w:rFonts w:ascii="Times New Roman" w:hAnsi="Times New Roman" w:cs="Times New Roman"/>
        </w:rPr>
      </w:pPr>
      <w:r>
        <w:rPr>
          <w:rFonts w:ascii="Times New Roman" w:hAnsi="Times New Roman" w:cs="Times New Roman"/>
        </w:rPr>
        <w:t xml:space="preserve">to John Conner, who </w:t>
      </w:r>
      <w:r w:rsidR="00E00B94">
        <w:rPr>
          <w:rFonts w:ascii="Times New Roman" w:hAnsi="Times New Roman" w:cs="Times New Roman"/>
        </w:rPr>
        <w:t>together, instilled in</w:t>
      </w:r>
      <w:r>
        <w:rPr>
          <w:rFonts w:ascii="Times New Roman" w:hAnsi="Times New Roman" w:cs="Times New Roman"/>
        </w:rPr>
        <w:t xml:space="preserve"> me what it means to appreciate, understand, and love nature.</w:t>
      </w:r>
    </w:p>
    <w:p w14:paraId="0B2C27B9" w14:textId="37FC9EBA" w:rsidR="00D853EB" w:rsidRDefault="00D853EB" w:rsidP="00B85FE2">
      <w:pPr>
        <w:jc w:val="both"/>
        <w:rPr>
          <w:rFonts w:ascii="Times New Roman" w:hAnsi="Times New Roman" w:cs="Times New Roman"/>
        </w:rPr>
      </w:pPr>
    </w:p>
    <w:p w14:paraId="71621A16" w14:textId="07F736F9" w:rsidR="00D853EB" w:rsidRDefault="00D853EB" w:rsidP="00B85FE2">
      <w:pPr>
        <w:ind w:firstLine="720"/>
        <w:jc w:val="both"/>
        <w:rPr>
          <w:rFonts w:ascii="Times New Roman" w:hAnsi="Times New Roman" w:cs="Times New Roman"/>
        </w:rPr>
      </w:pPr>
      <w:r>
        <w:rPr>
          <w:rFonts w:ascii="Times New Roman" w:hAnsi="Times New Roman" w:cs="Times New Roman"/>
        </w:rPr>
        <w:t xml:space="preserve">To my siblings, </w:t>
      </w:r>
      <w:r w:rsidR="00631091">
        <w:rPr>
          <w:rFonts w:ascii="Times New Roman" w:hAnsi="Times New Roman" w:cs="Times New Roman"/>
        </w:rPr>
        <w:t>Abby</w:t>
      </w:r>
      <w:r>
        <w:rPr>
          <w:rFonts w:ascii="Times New Roman" w:hAnsi="Times New Roman" w:cs="Times New Roman"/>
        </w:rPr>
        <w:t xml:space="preserve"> and </w:t>
      </w:r>
      <w:r w:rsidR="00631091">
        <w:rPr>
          <w:rFonts w:ascii="Times New Roman" w:hAnsi="Times New Roman" w:cs="Times New Roman"/>
        </w:rPr>
        <w:t>Andrew</w:t>
      </w:r>
      <w:r>
        <w:rPr>
          <w:rFonts w:ascii="Times New Roman" w:hAnsi="Times New Roman" w:cs="Times New Roman"/>
        </w:rPr>
        <w:t xml:space="preserve">, who struggle to fathom my obsession with salamanders but grant me </w:t>
      </w:r>
      <w:r w:rsidR="00631091">
        <w:rPr>
          <w:rFonts w:ascii="Times New Roman" w:hAnsi="Times New Roman" w:cs="Times New Roman"/>
        </w:rPr>
        <w:t>unconditional</w:t>
      </w:r>
      <w:r>
        <w:rPr>
          <w:rFonts w:ascii="Times New Roman" w:hAnsi="Times New Roman" w:cs="Times New Roman"/>
        </w:rPr>
        <w:t xml:space="preserve"> </w:t>
      </w:r>
      <w:r w:rsidR="002F36FF">
        <w:rPr>
          <w:rFonts w:ascii="Times New Roman" w:hAnsi="Times New Roman" w:cs="Times New Roman"/>
        </w:rPr>
        <w:t>support,</w:t>
      </w:r>
      <w:r>
        <w:rPr>
          <w:rFonts w:ascii="Times New Roman" w:hAnsi="Times New Roman" w:cs="Times New Roman"/>
        </w:rPr>
        <w:t xml:space="preserve"> nonetheless</w:t>
      </w:r>
      <w:r w:rsidR="00FD69E9">
        <w:rPr>
          <w:rFonts w:ascii="Times New Roman" w:hAnsi="Times New Roman" w:cs="Times New Roman"/>
        </w:rPr>
        <w:t>.</w:t>
      </w:r>
    </w:p>
    <w:p w14:paraId="66531464" w14:textId="77777777" w:rsidR="00631091" w:rsidRDefault="00631091" w:rsidP="00B85FE2">
      <w:pPr>
        <w:jc w:val="both"/>
        <w:rPr>
          <w:rFonts w:ascii="Times New Roman" w:hAnsi="Times New Roman" w:cs="Times New Roman"/>
        </w:rPr>
      </w:pPr>
    </w:p>
    <w:p w14:paraId="4B4A40C4" w14:textId="2609F3C8" w:rsidR="00631091" w:rsidRDefault="00631091" w:rsidP="00B85FE2">
      <w:pPr>
        <w:ind w:firstLine="720"/>
        <w:jc w:val="both"/>
        <w:rPr>
          <w:rFonts w:ascii="Times New Roman" w:hAnsi="Times New Roman" w:cs="Times New Roman"/>
        </w:rPr>
      </w:pPr>
      <w:r>
        <w:rPr>
          <w:rFonts w:ascii="Times New Roman" w:hAnsi="Times New Roman" w:cs="Times New Roman"/>
        </w:rPr>
        <w:t>To my nephew, Hudson, and nieces Nora, Lily, and Caroline- may you never stop exploring the curiosities of the natural world.</w:t>
      </w:r>
    </w:p>
    <w:p w14:paraId="1A8B0844" w14:textId="62C8DC10" w:rsidR="00C142FA" w:rsidRDefault="00C142FA" w:rsidP="00B85FE2">
      <w:pPr>
        <w:jc w:val="both"/>
        <w:rPr>
          <w:rFonts w:ascii="Times New Roman" w:hAnsi="Times New Roman" w:cs="Times New Roman"/>
        </w:rPr>
      </w:pPr>
    </w:p>
    <w:p w14:paraId="4EAF36F7" w14:textId="7FE0BD6A" w:rsidR="00C142FA" w:rsidRDefault="00C142FA" w:rsidP="00B85FE2">
      <w:pPr>
        <w:ind w:firstLine="720"/>
        <w:jc w:val="both"/>
        <w:rPr>
          <w:rFonts w:ascii="Times New Roman" w:hAnsi="Times New Roman" w:cs="Times New Roman"/>
        </w:rPr>
      </w:pPr>
      <w:r>
        <w:rPr>
          <w:rFonts w:ascii="Times New Roman" w:hAnsi="Times New Roman" w:cs="Times New Roman"/>
        </w:rPr>
        <w:t>Finally, to the wond</w:t>
      </w:r>
      <w:r w:rsidR="00054D6F">
        <w:rPr>
          <w:rFonts w:ascii="Times New Roman" w:hAnsi="Times New Roman" w:cs="Times New Roman"/>
        </w:rPr>
        <w:t>r</w:t>
      </w:r>
      <w:r>
        <w:rPr>
          <w:rFonts w:ascii="Times New Roman" w:hAnsi="Times New Roman" w:cs="Times New Roman"/>
        </w:rPr>
        <w:t xml:space="preserve">ous, enigmatic </w:t>
      </w:r>
      <w:r w:rsidR="00D737BC">
        <w:rPr>
          <w:rFonts w:ascii="Times New Roman" w:hAnsi="Times New Roman" w:cs="Times New Roman"/>
        </w:rPr>
        <w:t>s</w:t>
      </w:r>
      <w:r>
        <w:rPr>
          <w:rFonts w:ascii="Times New Roman" w:hAnsi="Times New Roman" w:cs="Times New Roman"/>
        </w:rPr>
        <w:t>alamanders of Southern Appalachia</w:t>
      </w:r>
      <w:r w:rsidR="00E00B94">
        <w:rPr>
          <w:rFonts w:ascii="Times New Roman" w:hAnsi="Times New Roman" w:cs="Times New Roman"/>
        </w:rPr>
        <w:t>, who have given me the joy of a lifetime through the blessing of experience.</w:t>
      </w:r>
    </w:p>
    <w:p w14:paraId="01B3B519" w14:textId="66373534" w:rsidR="00E00B94" w:rsidRDefault="00E00B94" w:rsidP="00B85FE2">
      <w:pPr>
        <w:jc w:val="both"/>
        <w:rPr>
          <w:rFonts w:ascii="Times New Roman" w:hAnsi="Times New Roman" w:cs="Times New Roman"/>
        </w:rPr>
      </w:pPr>
    </w:p>
    <w:p w14:paraId="1C1607FB" w14:textId="77777777" w:rsidR="00954852" w:rsidRDefault="00E00B94" w:rsidP="00B85FE2">
      <w:pPr>
        <w:jc w:val="both"/>
        <w:rPr>
          <w:rFonts w:ascii="Times New Roman" w:hAnsi="Times New Roman" w:cs="Times New Roman"/>
        </w:rPr>
      </w:pPr>
      <w:r>
        <w:rPr>
          <w:rFonts w:ascii="Times New Roman" w:hAnsi="Times New Roman" w:cs="Times New Roman"/>
        </w:rPr>
        <w:t>“</w:t>
      </w:r>
      <w:r w:rsidR="00D737BC">
        <w:rPr>
          <w:rFonts w:ascii="Times New Roman" w:hAnsi="Times New Roman" w:cs="Times New Roman"/>
        </w:rPr>
        <w:t xml:space="preserve">Places and happenings, people and animals, winds at sea and on mountains, and all that I remember, it was no unpleasant path I trod when I followed this </w:t>
      </w:r>
      <w:r w:rsidR="00954852">
        <w:rPr>
          <w:rFonts w:ascii="Times New Roman" w:hAnsi="Times New Roman" w:cs="Times New Roman"/>
        </w:rPr>
        <w:t>‘questing</w:t>
      </w:r>
      <w:r w:rsidR="00D737BC">
        <w:rPr>
          <w:rFonts w:ascii="Times New Roman" w:hAnsi="Times New Roman" w:cs="Times New Roman"/>
        </w:rPr>
        <w:t xml:space="preserve"> </w:t>
      </w:r>
      <w:proofErr w:type="gramStart"/>
      <w:r w:rsidR="00D737BC">
        <w:rPr>
          <w:rFonts w:ascii="Times New Roman" w:hAnsi="Times New Roman" w:cs="Times New Roman"/>
        </w:rPr>
        <w:t>be</w:t>
      </w:r>
      <w:r w:rsidR="00954852">
        <w:rPr>
          <w:rFonts w:ascii="Times New Roman" w:hAnsi="Times New Roman" w:cs="Times New Roman"/>
        </w:rPr>
        <w:t>a</w:t>
      </w:r>
      <w:r w:rsidR="00D737BC">
        <w:rPr>
          <w:rFonts w:ascii="Times New Roman" w:hAnsi="Times New Roman" w:cs="Times New Roman"/>
        </w:rPr>
        <w:t>st</w:t>
      </w:r>
      <w:proofErr w:type="gramEnd"/>
      <w:r w:rsidR="00954852">
        <w:rPr>
          <w:rFonts w:ascii="Times New Roman" w:hAnsi="Times New Roman" w:cs="Times New Roman"/>
        </w:rPr>
        <w:t>’</w:t>
      </w:r>
      <w:r>
        <w:rPr>
          <w:rFonts w:ascii="Times New Roman" w:hAnsi="Times New Roman" w:cs="Times New Roman"/>
        </w:rPr>
        <w:t xml:space="preserve">” </w:t>
      </w:r>
    </w:p>
    <w:p w14:paraId="6F0103C7" w14:textId="445188E4" w:rsidR="00E00B94" w:rsidRDefault="00E00B94" w:rsidP="00B85FE2">
      <w:pPr>
        <w:ind w:firstLine="720"/>
        <w:jc w:val="both"/>
        <w:rPr>
          <w:rFonts w:ascii="Times New Roman" w:hAnsi="Times New Roman" w:cs="Times New Roman"/>
        </w:rPr>
      </w:pPr>
      <w:r>
        <w:rPr>
          <w:rFonts w:ascii="Times New Roman" w:hAnsi="Times New Roman" w:cs="Times New Roman"/>
        </w:rPr>
        <w:t xml:space="preserve">– </w:t>
      </w:r>
      <w:r w:rsidR="00954852">
        <w:rPr>
          <w:rFonts w:ascii="Times New Roman" w:hAnsi="Times New Roman" w:cs="Times New Roman"/>
        </w:rPr>
        <w:t>Emmett Reid Dunn, 1926</w:t>
      </w:r>
    </w:p>
    <w:p w14:paraId="0B0E8F6A" w14:textId="07482173" w:rsidR="00C142FA" w:rsidRPr="00DF7C87" w:rsidRDefault="00C142FA" w:rsidP="00B85FE2">
      <w:pPr>
        <w:rPr>
          <w:rFonts w:ascii="Times New Roman" w:hAnsi="Times New Roman" w:cs="Times New Roman"/>
        </w:rPr>
      </w:pPr>
    </w:p>
    <w:p w14:paraId="2AE73BE0" w14:textId="77777777" w:rsidR="00904969" w:rsidRPr="00DF7C87" w:rsidRDefault="00904969" w:rsidP="00387656">
      <w:pPr>
        <w:jc w:val="center"/>
        <w:rPr>
          <w:rFonts w:ascii="Times New Roman" w:hAnsi="Times New Roman" w:cs="Times New Roman"/>
        </w:rPr>
      </w:pPr>
    </w:p>
    <w:p w14:paraId="03F0CBAF" w14:textId="77777777" w:rsidR="00CD73A9" w:rsidRPr="00060A6A"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47C29ABE" w14:textId="77777777" w:rsidR="009D794C" w:rsidRPr="00DF7C87" w:rsidRDefault="009D794C" w:rsidP="005E54E2">
      <w:pPr>
        <w:rPr>
          <w:rFonts w:ascii="Times New Roman" w:hAnsi="Times New Roman" w:cs="Times New Roman"/>
        </w:rPr>
      </w:pPr>
    </w:p>
    <w:p w14:paraId="39521072" w14:textId="63F6ECA9" w:rsidR="005C7015" w:rsidRDefault="0021359B" w:rsidP="006C0171">
      <w:pPr>
        <w:ind w:firstLine="720"/>
        <w:rPr>
          <w:rFonts w:ascii="Times New Roman" w:hAnsi="Times New Roman" w:cs="Times New Roman"/>
        </w:rPr>
      </w:pPr>
      <w:r>
        <w:rPr>
          <w:rFonts w:ascii="Times New Roman" w:hAnsi="Times New Roman" w:cs="Times New Roman"/>
        </w:rPr>
        <w:t>While the work presented in this dissertation is written in the first person, it would not have been possible without the guidance and support of others. Specifically,</w:t>
      </w:r>
      <w:r w:rsidR="005C7015">
        <w:rPr>
          <w:rFonts w:ascii="Times New Roman" w:hAnsi="Times New Roman" w:cs="Times New Roman"/>
        </w:rPr>
        <w:t xml:space="preserve"> </w:t>
      </w:r>
      <w:r>
        <w:rPr>
          <w:rFonts w:ascii="Times New Roman" w:hAnsi="Times New Roman" w:cs="Times New Roman"/>
        </w:rPr>
        <w:t>thank you to</w:t>
      </w:r>
      <w:r w:rsidR="005C7015">
        <w:rPr>
          <w:rFonts w:ascii="Times New Roman" w:hAnsi="Times New Roman" w:cs="Times New Roman"/>
        </w:rPr>
        <w:t xml:space="preserve"> my committee</w:t>
      </w:r>
      <w:r>
        <w:rPr>
          <w:rFonts w:ascii="Times New Roman" w:hAnsi="Times New Roman" w:cs="Times New Roman"/>
        </w:rPr>
        <w:t xml:space="preserve"> members</w:t>
      </w:r>
      <w:r w:rsidR="006E4F5D">
        <w:rPr>
          <w:rFonts w:ascii="Times New Roman" w:hAnsi="Times New Roman" w:cs="Times New Roman"/>
        </w:rPr>
        <w:t xml:space="preserve">, Xingli Giam, Brian O’Meara, and </w:t>
      </w:r>
      <w:r w:rsidR="005C7015">
        <w:rPr>
          <w:rFonts w:ascii="Times New Roman" w:hAnsi="Times New Roman" w:cs="Times New Roman"/>
        </w:rPr>
        <w:t xml:space="preserve">Ben Parker, </w:t>
      </w:r>
      <w:r>
        <w:rPr>
          <w:rFonts w:ascii="Times New Roman" w:hAnsi="Times New Roman" w:cs="Times New Roman"/>
        </w:rPr>
        <w:t>for the</w:t>
      </w:r>
      <w:r w:rsidR="005C7015">
        <w:rPr>
          <w:rFonts w:ascii="Times New Roman" w:hAnsi="Times New Roman" w:cs="Times New Roman"/>
        </w:rPr>
        <w:t xml:space="preserve"> assistance</w:t>
      </w:r>
      <w:r>
        <w:rPr>
          <w:rFonts w:ascii="Times New Roman" w:hAnsi="Times New Roman" w:cs="Times New Roman"/>
        </w:rPr>
        <w:t xml:space="preserve"> and feedback</w:t>
      </w:r>
      <w:r w:rsidR="005C7015">
        <w:rPr>
          <w:rFonts w:ascii="Times New Roman" w:hAnsi="Times New Roman" w:cs="Times New Roman"/>
        </w:rPr>
        <w:t xml:space="preserve"> you have provided over the last </w:t>
      </w:r>
      <w:r w:rsidR="00D737BC">
        <w:rPr>
          <w:rFonts w:ascii="Times New Roman" w:hAnsi="Times New Roman" w:cs="Times New Roman"/>
        </w:rPr>
        <w:t>six</w:t>
      </w:r>
      <w:r w:rsidR="005C7015">
        <w:rPr>
          <w:rFonts w:ascii="Times New Roman" w:hAnsi="Times New Roman" w:cs="Times New Roman"/>
        </w:rPr>
        <w:t xml:space="preserve"> years. </w:t>
      </w:r>
      <w:r w:rsidR="00B77B63">
        <w:rPr>
          <w:rFonts w:ascii="Times New Roman" w:hAnsi="Times New Roman" w:cs="Times New Roman"/>
        </w:rPr>
        <w:t xml:space="preserve">I also extend my gratitude to Jim Fordyce </w:t>
      </w:r>
      <w:r w:rsidR="00DC54D1">
        <w:rPr>
          <w:rFonts w:ascii="Times New Roman" w:hAnsi="Times New Roman" w:cs="Times New Roman"/>
        </w:rPr>
        <w:t xml:space="preserve">and Ben Keck </w:t>
      </w:r>
      <w:r w:rsidR="00AF7D76">
        <w:rPr>
          <w:rFonts w:ascii="Times New Roman" w:hAnsi="Times New Roman" w:cs="Times New Roman"/>
        </w:rPr>
        <w:t xml:space="preserve">for </w:t>
      </w:r>
      <w:r w:rsidR="00DC54D1">
        <w:rPr>
          <w:rFonts w:ascii="Times New Roman" w:hAnsi="Times New Roman" w:cs="Times New Roman"/>
        </w:rPr>
        <w:t>many thoughtful discussions and memorable experiences</w:t>
      </w:r>
      <w:r w:rsidR="00B77B63">
        <w:rPr>
          <w:rFonts w:ascii="Times New Roman" w:hAnsi="Times New Roman" w:cs="Times New Roman"/>
        </w:rPr>
        <w:t xml:space="preserve">. </w:t>
      </w:r>
      <w:r w:rsidR="005C7015">
        <w:rPr>
          <w:rFonts w:ascii="Times New Roman" w:hAnsi="Times New Roman" w:cs="Times New Roman"/>
        </w:rPr>
        <w:t xml:space="preserve">To my advisor, Ben Fitzpatrick, whether it be writing, analyses, or fieldwork, I </w:t>
      </w:r>
      <w:r>
        <w:rPr>
          <w:rFonts w:ascii="Times New Roman" w:hAnsi="Times New Roman" w:cs="Times New Roman"/>
        </w:rPr>
        <w:t xml:space="preserve">have </w:t>
      </w:r>
      <w:r w:rsidR="005C7015">
        <w:rPr>
          <w:rFonts w:ascii="Times New Roman" w:hAnsi="Times New Roman" w:cs="Times New Roman"/>
        </w:rPr>
        <w:t>learn</w:t>
      </w:r>
      <w:r>
        <w:rPr>
          <w:rFonts w:ascii="Times New Roman" w:hAnsi="Times New Roman" w:cs="Times New Roman"/>
        </w:rPr>
        <w:t>ed</w:t>
      </w:r>
      <w:r w:rsidR="005C7015">
        <w:rPr>
          <w:rFonts w:ascii="Times New Roman" w:hAnsi="Times New Roman" w:cs="Times New Roman"/>
        </w:rPr>
        <w:t xml:space="preserve"> a tremendous amount from you and am thankful for the experiences we </w:t>
      </w:r>
      <w:r>
        <w:rPr>
          <w:rFonts w:ascii="Times New Roman" w:hAnsi="Times New Roman" w:cs="Times New Roman"/>
        </w:rPr>
        <w:t xml:space="preserve">have </w:t>
      </w:r>
      <w:r w:rsidR="005C7015">
        <w:rPr>
          <w:rFonts w:ascii="Times New Roman" w:hAnsi="Times New Roman" w:cs="Times New Roman"/>
        </w:rPr>
        <w:t>shared along the way. Your ability to think deeply and understand complex concepts has been most influential in my growth over the duration of this experience.</w:t>
      </w:r>
    </w:p>
    <w:p w14:paraId="6CF6FA8F" w14:textId="77777777" w:rsidR="005C7015" w:rsidRDefault="005C7015" w:rsidP="006C0171">
      <w:pPr>
        <w:rPr>
          <w:rFonts w:ascii="Times New Roman" w:hAnsi="Times New Roman" w:cs="Times New Roman"/>
        </w:rPr>
      </w:pPr>
    </w:p>
    <w:p w14:paraId="59F73AE8" w14:textId="3EDFF605" w:rsidR="005C7015" w:rsidRDefault="0021359B" w:rsidP="006C0171">
      <w:pPr>
        <w:ind w:firstLine="720"/>
        <w:rPr>
          <w:rFonts w:ascii="Times New Roman" w:hAnsi="Times New Roman" w:cs="Times New Roman"/>
        </w:rPr>
      </w:pPr>
      <w:r>
        <w:rPr>
          <w:rFonts w:ascii="Times New Roman" w:hAnsi="Times New Roman" w:cs="Times New Roman"/>
        </w:rPr>
        <w:t>I would additionally like to thank Veronica Brown of the UTK Genomics Core</w:t>
      </w:r>
      <w:r w:rsidR="005C7015">
        <w:rPr>
          <w:rFonts w:ascii="Times New Roman" w:hAnsi="Times New Roman" w:cs="Times New Roman"/>
        </w:rPr>
        <w:t xml:space="preserve">, </w:t>
      </w:r>
      <w:r>
        <w:rPr>
          <w:rFonts w:ascii="Times New Roman" w:hAnsi="Times New Roman" w:cs="Times New Roman"/>
        </w:rPr>
        <w:t>whose</w:t>
      </w:r>
      <w:r w:rsidR="005C7015">
        <w:rPr>
          <w:rFonts w:ascii="Times New Roman" w:hAnsi="Times New Roman" w:cs="Times New Roman"/>
        </w:rPr>
        <w:t xml:space="preserve"> expertise in </w:t>
      </w:r>
      <w:r w:rsidR="00B82B1F">
        <w:rPr>
          <w:rFonts w:ascii="Times New Roman" w:hAnsi="Times New Roman" w:cs="Times New Roman"/>
        </w:rPr>
        <w:t>m</w:t>
      </w:r>
      <w:r w:rsidR="005C7015">
        <w:rPr>
          <w:rFonts w:ascii="Times New Roman" w:hAnsi="Times New Roman" w:cs="Times New Roman"/>
        </w:rPr>
        <w:t xml:space="preserve">olecular techniques is exceeded </w:t>
      </w:r>
      <w:r w:rsidR="002433E1">
        <w:rPr>
          <w:rFonts w:ascii="Times New Roman" w:hAnsi="Times New Roman" w:cs="Times New Roman"/>
        </w:rPr>
        <w:t xml:space="preserve">only </w:t>
      </w:r>
      <w:r w:rsidR="005C7015">
        <w:rPr>
          <w:rFonts w:ascii="Times New Roman" w:hAnsi="Times New Roman" w:cs="Times New Roman"/>
        </w:rPr>
        <w:t xml:space="preserve">by </w:t>
      </w:r>
      <w:r>
        <w:rPr>
          <w:rFonts w:ascii="Times New Roman" w:hAnsi="Times New Roman" w:cs="Times New Roman"/>
        </w:rPr>
        <w:t>her</w:t>
      </w:r>
      <w:r w:rsidR="005C7015">
        <w:rPr>
          <w:rFonts w:ascii="Times New Roman" w:hAnsi="Times New Roman" w:cs="Times New Roman"/>
        </w:rPr>
        <w:t xml:space="preserve"> generosity and kindness. </w:t>
      </w:r>
      <w:r>
        <w:rPr>
          <w:rFonts w:ascii="Times New Roman" w:hAnsi="Times New Roman" w:cs="Times New Roman"/>
        </w:rPr>
        <w:t xml:space="preserve">The fieldwork pertaining to this dissertation involved many long nights and hot days. </w:t>
      </w:r>
      <w:r w:rsidR="00E816ED">
        <w:rPr>
          <w:rFonts w:ascii="Times New Roman" w:hAnsi="Times New Roman" w:cs="Times New Roman"/>
        </w:rPr>
        <w:t xml:space="preserve">As such, </w:t>
      </w:r>
      <w:r>
        <w:rPr>
          <w:rFonts w:ascii="Times New Roman" w:hAnsi="Times New Roman" w:cs="Times New Roman"/>
        </w:rPr>
        <w:t xml:space="preserve">I am incredibly grateful to </w:t>
      </w:r>
      <w:r w:rsidR="00E816ED">
        <w:rPr>
          <w:rFonts w:ascii="Times New Roman" w:hAnsi="Times New Roman" w:cs="Times New Roman"/>
        </w:rPr>
        <w:t xml:space="preserve">the following for their upbeat spirit and positive attitude: Todd Pierson, Tania </w:t>
      </w:r>
      <w:proofErr w:type="spellStart"/>
      <w:r w:rsidR="00E816ED">
        <w:rPr>
          <w:rFonts w:ascii="Times New Roman" w:hAnsi="Times New Roman" w:cs="Times New Roman"/>
        </w:rPr>
        <w:t>DeWant</w:t>
      </w:r>
      <w:proofErr w:type="spellEnd"/>
      <w:r w:rsidR="00E816ED">
        <w:rPr>
          <w:rFonts w:ascii="Times New Roman" w:hAnsi="Times New Roman" w:cs="Times New Roman"/>
        </w:rPr>
        <w:t xml:space="preserve">, Briana Drake, Alex Funk, Bryce Wade, Michael Dunaway, JD Zimmerman, Arin </w:t>
      </w:r>
      <w:proofErr w:type="spellStart"/>
      <w:r w:rsidR="00E816ED">
        <w:rPr>
          <w:rFonts w:ascii="Times New Roman" w:hAnsi="Times New Roman" w:cs="Times New Roman"/>
        </w:rPr>
        <w:t>Wildmann</w:t>
      </w:r>
      <w:proofErr w:type="spellEnd"/>
      <w:r w:rsidR="00E816ED">
        <w:rPr>
          <w:rFonts w:ascii="Times New Roman" w:hAnsi="Times New Roman" w:cs="Times New Roman"/>
        </w:rPr>
        <w:t xml:space="preserve">, and Jaci Baker. I also would like to thank </w:t>
      </w:r>
      <w:r w:rsidR="006E4F5D">
        <w:rPr>
          <w:rFonts w:ascii="Times New Roman" w:hAnsi="Times New Roman" w:cs="Times New Roman"/>
        </w:rPr>
        <w:t xml:space="preserve">Morgan Fleming, Amanda Wilson-Carter, </w:t>
      </w:r>
      <w:r w:rsidR="00B82B1F">
        <w:rPr>
          <w:rFonts w:ascii="Times New Roman" w:hAnsi="Times New Roman" w:cs="Times New Roman"/>
        </w:rPr>
        <w:t xml:space="preserve">Lauren Lyon, </w:t>
      </w:r>
      <w:r w:rsidR="006E4F5D">
        <w:rPr>
          <w:rFonts w:ascii="Times New Roman" w:hAnsi="Times New Roman" w:cs="Times New Roman"/>
        </w:rPr>
        <w:t xml:space="preserve">and </w:t>
      </w:r>
      <w:r w:rsidR="00E816ED">
        <w:rPr>
          <w:rFonts w:ascii="Times New Roman" w:hAnsi="Times New Roman" w:cs="Times New Roman"/>
        </w:rPr>
        <w:t>Mali Hubert</w:t>
      </w:r>
      <w:r w:rsidR="006E4F5D">
        <w:rPr>
          <w:rFonts w:ascii="Times New Roman" w:hAnsi="Times New Roman" w:cs="Times New Roman"/>
        </w:rPr>
        <w:t xml:space="preserve"> </w:t>
      </w:r>
      <w:r w:rsidR="00E816ED">
        <w:rPr>
          <w:rFonts w:ascii="Times New Roman" w:hAnsi="Times New Roman" w:cs="Times New Roman"/>
        </w:rPr>
        <w:t>for their collaborative spirit</w:t>
      </w:r>
      <w:r w:rsidR="002D4A6D">
        <w:rPr>
          <w:rFonts w:ascii="Times New Roman" w:hAnsi="Times New Roman" w:cs="Times New Roman"/>
        </w:rPr>
        <w:t>s</w:t>
      </w:r>
      <w:r w:rsidR="00E816ED">
        <w:rPr>
          <w:rFonts w:ascii="Times New Roman" w:hAnsi="Times New Roman" w:cs="Times New Roman"/>
        </w:rPr>
        <w:t xml:space="preserve">, continuous support, and most of all, </w:t>
      </w:r>
      <w:r w:rsidR="00B82B1F">
        <w:rPr>
          <w:rFonts w:ascii="Times New Roman" w:hAnsi="Times New Roman" w:cs="Times New Roman"/>
        </w:rPr>
        <w:t xml:space="preserve">their </w:t>
      </w:r>
      <w:r w:rsidR="00E816ED">
        <w:rPr>
          <w:rFonts w:ascii="Times New Roman" w:hAnsi="Times New Roman" w:cs="Times New Roman"/>
        </w:rPr>
        <w:t xml:space="preserve">friendship over the last </w:t>
      </w:r>
      <w:r w:rsidR="00D737BC">
        <w:rPr>
          <w:rFonts w:ascii="Times New Roman" w:hAnsi="Times New Roman" w:cs="Times New Roman"/>
        </w:rPr>
        <w:t>six</w:t>
      </w:r>
      <w:r w:rsidR="00E816ED">
        <w:rPr>
          <w:rFonts w:ascii="Times New Roman" w:hAnsi="Times New Roman" w:cs="Times New Roman"/>
        </w:rPr>
        <w:t xml:space="preserve"> years. </w:t>
      </w:r>
    </w:p>
    <w:p w14:paraId="2C768789" w14:textId="5A3A6F88" w:rsidR="00E816ED" w:rsidRDefault="00E816ED" w:rsidP="006C0171">
      <w:pPr>
        <w:rPr>
          <w:rFonts w:ascii="Times New Roman" w:hAnsi="Times New Roman" w:cs="Times New Roman"/>
        </w:rPr>
      </w:pPr>
    </w:p>
    <w:p w14:paraId="0ED5894E" w14:textId="59B0CE34" w:rsidR="00E816ED" w:rsidRDefault="00E816ED" w:rsidP="006C0171">
      <w:pPr>
        <w:ind w:firstLine="720"/>
        <w:rPr>
          <w:rFonts w:ascii="Times New Roman" w:hAnsi="Times New Roman" w:cs="Times New Roman"/>
        </w:rPr>
      </w:pPr>
      <w:r>
        <w:rPr>
          <w:rFonts w:ascii="Times New Roman" w:hAnsi="Times New Roman" w:cs="Times New Roman"/>
        </w:rPr>
        <w:t>Lastly, I would like to thank my Environmental Research Students a</w:t>
      </w:r>
      <w:r w:rsidR="00C155A8">
        <w:rPr>
          <w:rFonts w:ascii="Times New Roman" w:hAnsi="Times New Roman" w:cs="Times New Roman"/>
        </w:rPr>
        <w:t>nd</w:t>
      </w:r>
      <w:r>
        <w:rPr>
          <w:rFonts w:ascii="Times New Roman" w:hAnsi="Times New Roman" w:cs="Times New Roman"/>
        </w:rPr>
        <w:t xml:space="preserve"> co-workers at </w:t>
      </w:r>
      <w:r w:rsidR="006E4F5D">
        <w:rPr>
          <w:rFonts w:ascii="Times New Roman" w:hAnsi="Times New Roman" w:cs="Times New Roman"/>
        </w:rPr>
        <w:t>t</w:t>
      </w:r>
      <w:r>
        <w:rPr>
          <w:rFonts w:ascii="Times New Roman" w:hAnsi="Times New Roman" w:cs="Times New Roman"/>
        </w:rPr>
        <w:t>he Baylor School, particularly R. Antonio Herrera, Mary Loveless, Louie Elliot</w:t>
      </w:r>
      <w:r w:rsidR="00213790">
        <w:rPr>
          <w:rFonts w:ascii="Times New Roman" w:hAnsi="Times New Roman" w:cs="Times New Roman"/>
        </w:rPr>
        <w:t>t</w:t>
      </w:r>
      <w:r w:rsidR="00C155A8">
        <w:rPr>
          <w:rFonts w:ascii="Times New Roman" w:hAnsi="Times New Roman" w:cs="Times New Roman"/>
        </w:rPr>
        <w:t xml:space="preserve">, </w:t>
      </w:r>
      <w:r w:rsidR="00532CA3">
        <w:rPr>
          <w:rFonts w:ascii="Times New Roman" w:hAnsi="Times New Roman" w:cs="Times New Roman"/>
        </w:rPr>
        <w:t xml:space="preserve">and </w:t>
      </w:r>
      <w:r w:rsidR="00C155A8">
        <w:rPr>
          <w:rFonts w:ascii="Times New Roman" w:hAnsi="Times New Roman" w:cs="Times New Roman"/>
        </w:rPr>
        <w:t>Curtis Blair</w:t>
      </w:r>
      <w:r w:rsidR="00532CA3">
        <w:rPr>
          <w:rFonts w:ascii="Times New Roman" w:hAnsi="Times New Roman" w:cs="Times New Roman"/>
        </w:rPr>
        <w:t>,</w:t>
      </w:r>
      <w:r>
        <w:rPr>
          <w:rFonts w:ascii="Times New Roman" w:hAnsi="Times New Roman" w:cs="Times New Roman"/>
        </w:rPr>
        <w:t xml:space="preserve"> whose </w:t>
      </w:r>
      <w:r w:rsidR="00532CA3">
        <w:rPr>
          <w:rFonts w:ascii="Times New Roman" w:hAnsi="Times New Roman" w:cs="Times New Roman"/>
        </w:rPr>
        <w:t>support</w:t>
      </w:r>
      <w:r w:rsidR="00273BB5">
        <w:rPr>
          <w:rFonts w:ascii="Times New Roman" w:hAnsi="Times New Roman" w:cs="Times New Roman"/>
        </w:rPr>
        <w:t xml:space="preserve"> </w:t>
      </w:r>
      <w:r w:rsidR="006E4F5D">
        <w:rPr>
          <w:rFonts w:ascii="Times New Roman" w:hAnsi="Times New Roman" w:cs="Times New Roman"/>
        </w:rPr>
        <w:t xml:space="preserve">and collaboration </w:t>
      </w:r>
      <w:r w:rsidR="00273BB5">
        <w:rPr>
          <w:rFonts w:ascii="Times New Roman" w:hAnsi="Times New Roman" w:cs="Times New Roman"/>
        </w:rPr>
        <w:t>ha</w:t>
      </w:r>
      <w:r w:rsidR="00B82B1F">
        <w:rPr>
          <w:rFonts w:ascii="Times New Roman" w:hAnsi="Times New Roman" w:cs="Times New Roman"/>
        </w:rPr>
        <w:t>ve</w:t>
      </w:r>
      <w:r w:rsidR="00273BB5">
        <w:rPr>
          <w:rFonts w:ascii="Times New Roman" w:hAnsi="Times New Roman" w:cs="Times New Roman"/>
        </w:rPr>
        <w:t xml:space="preserve"> </w:t>
      </w:r>
      <w:r w:rsidR="00532CA3">
        <w:rPr>
          <w:rFonts w:ascii="Times New Roman" w:hAnsi="Times New Roman" w:cs="Times New Roman"/>
        </w:rPr>
        <w:t xml:space="preserve">encouraged </w:t>
      </w:r>
      <w:r w:rsidR="00273BB5">
        <w:rPr>
          <w:rFonts w:ascii="Times New Roman" w:hAnsi="Times New Roman" w:cs="Times New Roman"/>
        </w:rPr>
        <w:t>me to grow from ‘Mr. Almost Doctor Holt’ to ‘Dr. Holt’.</w:t>
      </w:r>
    </w:p>
    <w:p w14:paraId="6D66646B" w14:textId="0C27597B" w:rsidR="00E816ED" w:rsidRDefault="00E816ED" w:rsidP="006C0171">
      <w:pPr>
        <w:rPr>
          <w:rFonts w:ascii="Times New Roman" w:hAnsi="Times New Roman" w:cs="Times New Roman"/>
        </w:rPr>
      </w:pPr>
    </w:p>
    <w:p w14:paraId="5CA079DB" w14:textId="29D0271A" w:rsidR="00E816ED" w:rsidRDefault="00E816ED" w:rsidP="006C0171">
      <w:pPr>
        <w:ind w:firstLine="720"/>
        <w:rPr>
          <w:rFonts w:ascii="Times New Roman" w:hAnsi="Times New Roman" w:cs="Times New Roman"/>
        </w:rPr>
      </w:pPr>
      <w:r>
        <w:rPr>
          <w:rFonts w:ascii="Times New Roman" w:hAnsi="Times New Roman" w:cs="Times New Roman"/>
        </w:rPr>
        <w:t xml:space="preserve">Funding </w:t>
      </w:r>
      <w:r w:rsidR="00360864">
        <w:rPr>
          <w:rFonts w:ascii="Times New Roman" w:hAnsi="Times New Roman" w:cs="Times New Roman"/>
        </w:rPr>
        <w:t>of</w:t>
      </w:r>
      <w:r>
        <w:rPr>
          <w:rFonts w:ascii="Times New Roman" w:hAnsi="Times New Roman" w:cs="Times New Roman"/>
        </w:rPr>
        <w:t xml:space="preserve"> this dissertation came from ARAV</w:t>
      </w:r>
      <w:r w:rsidR="009F2761">
        <w:rPr>
          <w:rFonts w:ascii="Times New Roman" w:hAnsi="Times New Roman" w:cs="Times New Roman"/>
        </w:rPr>
        <w:t xml:space="preserve"> Research Grant</w:t>
      </w:r>
      <w:r>
        <w:rPr>
          <w:rFonts w:ascii="Times New Roman" w:hAnsi="Times New Roman" w:cs="Times New Roman"/>
        </w:rPr>
        <w:t>, GSMCA</w:t>
      </w:r>
      <w:r w:rsidR="009F2761">
        <w:rPr>
          <w:rFonts w:ascii="Times New Roman" w:hAnsi="Times New Roman" w:cs="Times New Roman"/>
        </w:rPr>
        <w:t xml:space="preserve"> Campbell Memorial Fellowship</w:t>
      </w:r>
      <w:r>
        <w:rPr>
          <w:rFonts w:ascii="Times New Roman" w:hAnsi="Times New Roman" w:cs="Times New Roman"/>
        </w:rPr>
        <w:t xml:space="preserve">, </w:t>
      </w:r>
      <w:r w:rsidR="009F2761">
        <w:rPr>
          <w:rFonts w:ascii="Times New Roman" w:hAnsi="Times New Roman" w:cs="Times New Roman"/>
        </w:rPr>
        <w:t>The University of Tennessee Graduate Student Grant</w:t>
      </w:r>
      <w:r w:rsidR="00273BB5">
        <w:rPr>
          <w:rFonts w:ascii="Times New Roman" w:hAnsi="Times New Roman" w:cs="Times New Roman"/>
        </w:rPr>
        <w:t xml:space="preserve">, </w:t>
      </w:r>
      <w:r w:rsidR="00360864">
        <w:rPr>
          <w:rFonts w:ascii="Times New Roman" w:hAnsi="Times New Roman" w:cs="Times New Roman"/>
        </w:rPr>
        <w:t xml:space="preserve">the Alexander </w:t>
      </w:r>
      <w:proofErr w:type="spellStart"/>
      <w:r w:rsidR="00360864">
        <w:rPr>
          <w:rFonts w:ascii="Times New Roman" w:hAnsi="Times New Roman" w:cs="Times New Roman"/>
        </w:rPr>
        <w:t>Hollaender</w:t>
      </w:r>
      <w:proofErr w:type="spellEnd"/>
      <w:r w:rsidR="00360864">
        <w:rPr>
          <w:rFonts w:ascii="Times New Roman" w:hAnsi="Times New Roman" w:cs="Times New Roman"/>
        </w:rPr>
        <w:t xml:space="preserve"> Fellowship, </w:t>
      </w:r>
      <w:r w:rsidR="00273BB5">
        <w:rPr>
          <w:rFonts w:ascii="Times New Roman" w:hAnsi="Times New Roman" w:cs="Times New Roman"/>
        </w:rPr>
        <w:t xml:space="preserve">and </w:t>
      </w:r>
      <w:r w:rsidR="009F2761">
        <w:rPr>
          <w:rFonts w:ascii="Times New Roman" w:hAnsi="Times New Roman" w:cs="Times New Roman"/>
        </w:rPr>
        <w:t>t</w:t>
      </w:r>
      <w:r w:rsidR="00273BB5">
        <w:rPr>
          <w:rFonts w:ascii="Times New Roman" w:hAnsi="Times New Roman" w:cs="Times New Roman"/>
        </w:rPr>
        <w:t>he Weeks Family. This work was done under IACUC</w:t>
      </w:r>
      <w:r w:rsidR="00360864">
        <w:rPr>
          <w:rFonts w:ascii="Times New Roman" w:hAnsi="Times New Roman" w:cs="Times New Roman"/>
        </w:rPr>
        <w:t xml:space="preserve"> permits 2705-0619, 2676-0219, </w:t>
      </w:r>
      <w:r w:rsidR="00273BB5">
        <w:rPr>
          <w:rFonts w:ascii="Times New Roman" w:hAnsi="Times New Roman" w:cs="Times New Roman"/>
        </w:rPr>
        <w:t>TWRA</w:t>
      </w:r>
      <w:r w:rsidR="00360864">
        <w:rPr>
          <w:rFonts w:ascii="Times New Roman" w:hAnsi="Times New Roman" w:cs="Times New Roman"/>
        </w:rPr>
        <w:t xml:space="preserve"> </w:t>
      </w:r>
      <w:r w:rsidR="005D5057">
        <w:rPr>
          <w:rFonts w:ascii="Times New Roman" w:hAnsi="Times New Roman" w:cs="Times New Roman"/>
        </w:rPr>
        <w:t>permits: 2645, 2518, and GRSM permit 2069</w:t>
      </w:r>
      <w:r w:rsidR="00FD1F1C">
        <w:rPr>
          <w:rFonts w:ascii="Times New Roman" w:hAnsi="Times New Roman" w:cs="Times New Roman"/>
        </w:rPr>
        <w:t>.</w:t>
      </w:r>
    </w:p>
    <w:p w14:paraId="388EA99C" w14:textId="274BD1AE" w:rsidR="0021359B" w:rsidRDefault="0021359B" w:rsidP="005C7015">
      <w:pPr>
        <w:jc w:val="center"/>
        <w:rPr>
          <w:rFonts w:ascii="Times New Roman" w:hAnsi="Times New Roman" w:cs="Times New Roman"/>
        </w:rPr>
      </w:pPr>
    </w:p>
    <w:p w14:paraId="03DCAF57" w14:textId="77777777" w:rsidR="0085757D" w:rsidRPr="00DF7C87" w:rsidRDefault="0085757D" w:rsidP="005E54E2">
      <w:pPr>
        <w:rPr>
          <w:rFonts w:ascii="Times New Roman" w:hAnsi="Times New Roman" w:cs="Times New Roman"/>
        </w:rPr>
      </w:pPr>
    </w:p>
    <w:p w14:paraId="443F6104" w14:textId="77777777" w:rsidR="00904969" w:rsidRPr="00DF7C87" w:rsidRDefault="00904969" w:rsidP="005E54E2">
      <w:pPr>
        <w:rPr>
          <w:rFonts w:ascii="Times New Roman" w:hAnsi="Times New Roman" w:cs="Times New Roman"/>
        </w:rPr>
      </w:pPr>
    </w:p>
    <w:p w14:paraId="4E79AA13" w14:textId="77777777" w:rsidR="00904969" w:rsidRPr="00DF7C87" w:rsidRDefault="00904969" w:rsidP="005E54E2">
      <w:pPr>
        <w:rPr>
          <w:rFonts w:ascii="Times New Roman" w:hAnsi="Times New Roman" w:cs="Times New Roman"/>
        </w:rPr>
      </w:pPr>
    </w:p>
    <w:p w14:paraId="2C7E69A7" w14:textId="77777777" w:rsidR="00904969" w:rsidRPr="00DF7C87" w:rsidRDefault="00904969" w:rsidP="005E54E2">
      <w:pPr>
        <w:rPr>
          <w:rFonts w:ascii="Times New Roman" w:hAnsi="Times New Roman" w:cs="Times New Roman"/>
        </w:rPr>
      </w:pPr>
    </w:p>
    <w:p w14:paraId="08A801D7" w14:textId="77777777" w:rsidR="00236E6D" w:rsidRPr="00060A6A" w:rsidRDefault="0085757D" w:rsidP="00387656">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305B443D" w14:textId="77777777" w:rsidR="00060A6A" w:rsidRPr="00DF7C87" w:rsidRDefault="00060A6A" w:rsidP="005E54E2">
      <w:pPr>
        <w:rPr>
          <w:rFonts w:ascii="Times New Roman" w:hAnsi="Times New Roman" w:cs="Times New Roman"/>
        </w:rPr>
      </w:pPr>
    </w:p>
    <w:p w14:paraId="4044FFE7" w14:textId="73F2C312" w:rsidR="00D77B0C" w:rsidRPr="0042282F" w:rsidRDefault="00522842" w:rsidP="0042282F">
      <w:pPr>
        <w:spacing w:line="360" w:lineRule="auto"/>
        <w:ind w:firstLine="720"/>
        <w:rPr>
          <w:rFonts w:ascii="Times New Roman" w:hAnsi="Times New Roman" w:cs="Times New Roman"/>
        </w:rPr>
      </w:pPr>
      <w:r>
        <w:rPr>
          <w:rFonts w:ascii="Times New Roman" w:hAnsi="Times New Roman" w:cs="Times New Roman"/>
        </w:rPr>
        <w:t>The skin microbiome of amphibian hosts</w:t>
      </w:r>
      <w:r w:rsidR="005C7015" w:rsidRPr="001A2EE0">
        <w:rPr>
          <w:rFonts w:ascii="Times New Roman" w:hAnsi="Times New Roman" w:cs="Times New Roman"/>
        </w:rPr>
        <w:t xml:space="preserve"> can inhibit growth of </w:t>
      </w:r>
      <w:r w:rsidR="000852FF">
        <w:rPr>
          <w:rFonts w:ascii="Times New Roman" w:hAnsi="Times New Roman" w:cs="Times New Roman"/>
        </w:rPr>
        <w:t>pathogenic</w:t>
      </w:r>
      <w:r w:rsidR="005C7015" w:rsidRPr="001A2EE0">
        <w:rPr>
          <w:rFonts w:ascii="Times New Roman" w:hAnsi="Times New Roman" w:cs="Times New Roman"/>
        </w:rPr>
        <w:t xml:space="preserve"> fungi, contribute to </w:t>
      </w:r>
      <w:r w:rsidR="00B461A2" w:rsidRPr="001A2EE0">
        <w:rPr>
          <w:rFonts w:ascii="Times New Roman" w:hAnsi="Times New Roman" w:cs="Times New Roman"/>
        </w:rPr>
        <w:t>anti</w:t>
      </w:r>
      <w:r w:rsidR="0013005A" w:rsidRPr="001A2EE0">
        <w:rPr>
          <w:rFonts w:ascii="Times New Roman" w:hAnsi="Times New Roman" w:cs="Times New Roman"/>
        </w:rPr>
        <w:t>-</w:t>
      </w:r>
      <w:r w:rsidR="00B461A2" w:rsidRPr="001A2EE0">
        <w:rPr>
          <w:rFonts w:ascii="Times New Roman" w:hAnsi="Times New Roman" w:cs="Times New Roman"/>
        </w:rPr>
        <w:t>predator compounds in newts</w:t>
      </w:r>
      <w:r w:rsidR="00B4751A" w:rsidRPr="001A2EE0">
        <w:rPr>
          <w:rFonts w:ascii="Times New Roman" w:hAnsi="Times New Roman" w:cs="Times New Roman"/>
        </w:rPr>
        <w:t xml:space="preserve">, and </w:t>
      </w:r>
      <w:r w:rsidR="0013005A" w:rsidRPr="001A2EE0">
        <w:rPr>
          <w:rFonts w:ascii="Times New Roman" w:hAnsi="Times New Roman" w:cs="Times New Roman"/>
        </w:rPr>
        <w:t xml:space="preserve">is </w:t>
      </w:r>
      <w:r w:rsidR="00B461A2" w:rsidRPr="001A2EE0">
        <w:rPr>
          <w:rFonts w:ascii="Times New Roman" w:hAnsi="Times New Roman" w:cs="Times New Roman"/>
        </w:rPr>
        <w:t xml:space="preserve">linked </w:t>
      </w:r>
      <w:r w:rsidR="00B4751A" w:rsidRPr="001A2EE0">
        <w:rPr>
          <w:rFonts w:ascii="Times New Roman" w:hAnsi="Times New Roman" w:cs="Times New Roman"/>
        </w:rPr>
        <w:t>with sex-specific scents in frogs</w:t>
      </w:r>
      <w:r w:rsidR="005C7015" w:rsidRPr="001A2EE0">
        <w:rPr>
          <w:rFonts w:ascii="Times New Roman" w:hAnsi="Times New Roman" w:cs="Times New Roman"/>
        </w:rPr>
        <w:t xml:space="preserve">. </w:t>
      </w:r>
      <w:r w:rsidR="00B4751A" w:rsidRPr="001A2EE0">
        <w:rPr>
          <w:rFonts w:ascii="Times New Roman" w:hAnsi="Times New Roman" w:cs="Times New Roman"/>
        </w:rPr>
        <w:t>However, d</w:t>
      </w:r>
      <w:r w:rsidR="005C7015" w:rsidRPr="001A2EE0">
        <w:rPr>
          <w:rFonts w:ascii="Times New Roman" w:hAnsi="Times New Roman" w:cs="Times New Roman"/>
        </w:rPr>
        <w:t xml:space="preserve">espite growing evidence of symbiont </w:t>
      </w:r>
      <w:r w:rsidR="00B62A12" w:rsidRPr="001A2EE0">
        <w:rPr>
          <w:rFonts w:ascii="Times New Roman" w:hAnsi="Times New Roman" w:cs="Times New Roman"/>
        </w:rPr>
        <w:t>importance</w:t>
      </w:r>
      <w:r w:rsidR="005C7015" w:rsidRPr="001A2EE0">
        <w:rPr>
          <w:rFonts w:ascii="Times New Roman" w:hAnsi="Times New Roman" w:cs="Times New Roman"/>
        </w:rPr>
        <w:t xml:space="preserve"> to amphibian</w:t>
      </w:r>
      <w:r w:rsidR="00B4751A" w:rsidRPr="001A2EE0">
        <w:rPr>
          <w:rFonts w:ascii="Times New Roman" w:hAnsi="Times New Roman" w:cs="Times New Roman"/>
        </w:rPr>
        <w:t>s</w:t>
      </w:r>
      <w:r w:rsidR="005C7015" w:rsidRPr="001A2EE0">
        <w:rPr>
          <w:rFonts w:ascii="Times New Roman" w:hAnsi="Times New Roman" w:cs="Times New Roman"/>
        </w:rPr>
        <w:t xml:space="preserve">, how symbionts are acquired and maintained on hosts remains poorly resolved. Microbiomes exist on a dynamic spectrum from casual assemblages to </w:t>
      </w:r>
      <w:r w:rsidR="00384342" w:rsidRPr="001A2EE0">
        <w:rPr>
          <w:rFonts w:ascii="Times New Roman" w:hAnsi="Times New Roman" w:cs="Times New Roman"/>
        </w:rPr>
        <w:t>intricate</w:t>
      </w:r>
      <w:r w:rsidR="005C7015" w:rsidRPr="001A2EE0">
        <w:rPr>
          <w:rFonts w:ascii="Times New Roman" w:hAnsi="Times New Roman" w:cs="Times New Roman"/>
        </w:rPr>
        <w:t xml:space="preserve"> systems</w:t>
      </w:r>
      <w:r w:rsidR="00CA504C" w:rsidRPr="001A2EE0">
        <w:rPr>
          <w:rFonts w:ascii="Times New Roman" w:hAnsi="Times New Roman" w:cs="Times New Roman"/>
        </w:rPr>
        <w:t xml:space="preserve">, </w:t>
      </w:r>
      <w:r w:rsidR="00B461A2" w:rsidRPr="001A2EE0">
        <w:rPr>
          <w:rFonts w:ascii="Times New Roman" w:hAnsi="Times New Roman" w:cs="Times New Roman"/>
        </w:rPr>
        <w:t>and</w:t>
      </w:r>
      <w:r w:rsidR="00CA504C" w:rsidRPr="001A2EE0">
        <w:rPr>
          <w:rFonts w:ascii="Times New Roman" w:hAnsi="Times New Roman" w:cs="Times New Roman"/>
        </w:rPr>
        <w:t xml:space="preserve"> community members </w:t>
      </w:r>
      <w:r w:rsidR="00B461A2" w:rsidRPr="001A2EE0">
        <w:rPr>
          <w:rFonts w:ascii="Times New Roman" w:hAnsi="Times New Roman" w:cs="Times New Roman"/>
        </w:rPr>
        <w:t xml:space="preserve">vary in fidelity and </w:t>
      </w:r>
      <w:r w:rsidR="000852FF">
        <w:rPr>
          <w:rFonts w:ascii="Times New Roman" w:hAnsi="Times New Roman" w:cs="Times New Roman"/>
        </w:rPr>
        <w:t>association</w:t>
      </w:r>
      <w:r w:rsidR="00B461A2" w:rsidRPr="001A2EE0">
        <w:rPr>
          <w:rFonts w:ascii="Times New Roman" w:hAnsi="Times New Roman" w:cs="Times New Roman"/>
        </w:rPr>
        <w:t xml:space="preserve"> to hosts</w:t>
      </w:r>
      <w:r w:rsidR="005C7015" w:rsidRPr="001A2EE0">
        <w:rPr>
          <w:rFonts w:ascii="Times New Roman" w:hAnsi="Times New Roman" w:cs="Times New Roman"/>
        </w:rPr>
        <w:t xml:space="preserve">. </w:t>
      </w:r>
      <w:r w:rsidR="00B461A2" w:rsidRPr="001A2EE0">
        <w:rPr>
          <w:rFonts w:ascii="Times New Roman" w:hAnsi="Times New Roman" w:cs="Times New Roman"/>
        </w:rPr>
        <w:t xml:space="preserve">The establishment of these communities </w:t>
      </w:r>
      <w:r w:rsidR="003A28C2" w:rsidRPr="001A2EE0">
        <w:rPr>
          <w:rFonts w:ascii="Times New Roman" w:hAnsi="Times New Roman" w:cs="Times New Roman"/>
        </w:rPr>
        <w:t>involve</w:t>
      </w:r>
      <w:r w:rsidR="00C64218">
        <w:rPr>
          <w:rFonts w:ascii="Times New Roman" w:hAnsi="Times New Roman" w:cs="Times New Roman"/>
        </w:rPr>
        <w:t>s</w:t>
      </w:r>
      <w:r w:rsidR="003A28C2" w:rsidRPr="001A2EE0">
        <w:rPr>
          <w:rFonts w:ascii="Times New Roman" w:hAnsi="Times New Roman" w:cs="Times New Roman"/>
        </w:rPr>
        <w:t xml:space="preserve"> complex interactions between symbiont</w:t>
      </w:r>
      <w:r w:rsidR="00551143">
        <w:rPr>
          <w:rFonts w:ascii="Times New Roman" w:hAnsi="Times New Roman" w:cs="Times New Roman"/>
        </w:rPr>
        <w:t>s</w:t>
      </w:r>
      <w:r w:rsidR="003A28C2" w:rsidRPr="001A2EE0">
        <w:rPr>
          <w:rFonts w:ascii="Times New Roman" w:hAnsi="Times New Roman" w:cs="Times New Roman"/>
        </w:rPr>
        <w:t xml:space="preserve">, host traits, </w:t>
      </w:r>
      <w:r w:rsidR="00551143">
        <w:rPr>
          <w:rFonts w:ascii="Times New Roman" w:hAnsi="Times New Roman" w:cs="Times New Roman"/>
        </w:rPr>
        <w:t>and</w:t>
      </w:r>
      <w:r w:rsidR="003A28C2" w:rsidRPr="001A2EE0">
        <w:rPr>
          <w:rFonts w:ascii="Times New Roman" w:hAnsi="Times New Roman" w:cs="Times New Roman"/>
        </w:rPr>
        <w:t xml:space="preserve"> </w:t>
      </w:r>
      <w:r w:rsidR="00551143">
        <w:rPr>
          <w:rFonts w:ascii="Times New Roman" w:hAnsi="Times New Roman" w:cs="Times New Roman"/>
        </w:rPr>
        <w:t>source</w:t>
      </w:r>
      <w:r w:rsidR="003A28C2" w:rsidRPr="001A2EE0">
        <w:rPr>
          <w:rFonts w:ascii="Times New Roman" w:hAnsi="Times New Roman" w:cs="Times New Roman"/>
        </w:rPr>
        <w:t xml:space="preserve"> communities. </w:t>
      </w:r>
      <w:r w:rsidR="005C7015" w:rsidRPr="001A2EE0">
        <w:rPr>
          <w:rFonts w:ascii="Times New Roman" w:hAnsi="Times New Roman" w:cs="Times New Roman"/>
        </w:rPr>
        <w:t xml:space="preserve">I seek to </w:t>
      </w:r>
      <w:r w:rsidR="000852FF">
        <w:rPr>
          <w:rFonts w:ascii="Times New Roman" w:hAnsi="Times New Roman" w:cs="Times New Roman"/>
        </w:rPr>
        <w:t>enhance our understanding</w:t>
      </w:r>
      <w:r w:rsidR="005C7015" w:rsidRPr="001A2EE0">
        <w:rPr>
          <w:rFonts w:ascii="Times New Roman" w:hAnsi="Times New Roman" w:cs="Times New Roman"/>
        </w:rPr>
        <w:t xml:space="preserve"> by </w:t>
      </w:r>
      <w:r w:rsidR="000852FF">
        <w:rPr>
          <w:rFonts w:ascii="Times New Roman" w:hAnsi="Times New Roman" w:cs="Times New Roman"/>
        </w:rPr>
        <w:t>assessing</w:t>
      </w:r>
      <w:r w:rsidR="005C7015" w:rsidRPr="001A2EE0">
        <w:rPr>
          <w:rFonts w:ascii="Times New Roman" w:hAnsi="Times New Roman" w:cs="Times New Roman"/>
        </w:rPr>
        <w:t xml:space="preserve"> the spatial-temporal </w:t>
      </w:r>
      <w:r w:rsidR="000852FF">
        <w:rPr>
          <w:rFonts w:ascii="Times New Roman" w:hAnsi="Times New Roman" w:cs="Times New Roman"/>
        </w:rPr>
        <w:t>patterns</w:t>
      </w:r>
      <w:r w:rsidR="005C7015" w:rsidRPr="001A2EE0">
        <w:rPr>
          <w:rFonts w:ascii="Times New Roman" w:hAnsi="Times New Roman" w:cs="Times New Roman"/>
        </w:rPr>
        <w:t xml:space="preserve"> of the </w:t>
      </w:r>
      <w:r w:rsidR="000852FF">
        <w:rPr>
          <w:rFonts w:ascii="Times New Roman" w:hAnsi="Times New Roman" w:cs="Times New Roman"/>
        </w:rPr>
        <w:t>salamander</w:t>
      </w:r>
      <w:r w:rsidR="005C7015" w:rsidRPr="001A2EE0">
        <w:rPr>
          <w:rFonts w:ascii="Times New Roman" w:hAnsi="Times New Roman" w:cs="Times New Roman"/>
        </w:rPr>
        <w:t xml:space="preserve"> skin microbiome relative to</w:t>
      </w:r>
      <w:r w:rsidR="00551143">
        <w:rPr>
          <w:rFonts w:ascii="Times New Roman" w:hAnsi="Times New Roman" w:cs="Times New Roman"/>
        </w:rPr>
        <w:t xml:space="preserve"> their</w:t>
      </w:r>
      <w:r w:rsidR="005C7015" w:rsidRPr="001A2EE0">
        <w:rPr>
          <w:rFonts w:ascii="Times New Roman" w:hAnsi="Times New Roman" w:cs="Times New Roman"/>
        </w:rPr>
        <w:t xml:space="preserve"> </w:t>
      </w:r>
      <w:r w:rsidR="00C64218" w:rsidRPr="007B7F6D">
        <w:rPr>
          <w:rFonts w:ascii="Times New Roman" w:hAnsi="Times New Roman" w:cs="Times New Roman"/>
        </w:rPr>
        <w:t xml:space="preserve">cover </w:t>
      </w:r>
      <w:r w:rsidRPr="007B7F6D">
        <w:rPr>
          <w:rFonts w:ascii="Times New Roman" w:hAnsi="Times New Roman" w:cs="Times New Roman"/>
        </w:rPr>
        <w:t>objects which</w:t>
      </w:r>
      <w:r w:rsidR="00C64218" w:rsidRPr="007B7F6D">
        <w:rPr>
          <w:rFonts w:ascii="Times New Roman" w:hAnsi="Times New Roman" w:cs="Times New Roman"/>
        </w:rPr>
        <w:t xml:space="preserve"> are likely </w:t>
      </w:r>
      <w:r w:rsidR="00D77B0C" w:rsidRPr="007B7F6D">
        <w:rPr>
          <w:rFonts w:ascii="Times New Roman" w:hAnsi="Times New Roman" w:cs="Times New Roman"/>
        </w:rPr>
        <w:t xml:space="preserve">an </w:t>
      </w:r>
      <w:r w:rsidR="00C64218" w:rsidRPr="007B7F6D">
        <w:rPr>
          <w:rFonts w:ascii="Times New Roman" w:hAnsi="Times New Roman" w:cs="Times New Roman"/>
        </w:rPr>
        <w:t>important</w:t>
      </w:r>
      <w:r w:rsidR="00BA0EFE" w:rsidRPr="007B7F6D">
        <w:rPr>
          <w:rFonts w:ascii="Times New Roman" w:hAnsi="Times New Roman" w:cs="Times New Roman"/>
        </w:rPr>
        <w:t>,</w:t>
      </w:r>
      <w:r w:rsidR="00C64218" w:rsidRPr="007B7F6D">
        <w:rPr>
          <w:rFonts w:ascii="Times New Roman" w:hAnsi="Times New Roman" w:cs="Times New Roman"/>
        </w:rPr>
        <w:t xml:space="preserve"> </w:t>
      </w:r>
      <w:r w:rsidR="00B41516" w:rsidRPr="007B7F6D">
        <w:rPr>
          <w:rFonts w:ascii="Times New Roman" w:hAnsi="Times New Roman" w:cs="Times New Roman"/>
        </w:rPr>
        <w:t>but rarely investigated source of</w:t>
      </w:r>
      <w:r w:rsidR="00C64218" w:rsidRPr="007B7F6D">
        <w:rPr>
          <w:rFonts w:ascii="Times New Roman" w:hAnsi="Times New Roman" w:cs="Times New Roman"/>
        </w:rPr>
        <w:t xml:space="preserve"> microbes </w:t>
      </w:r>
      <w:r>
        <w:rPr>
          <w:rFonts w:ascii="Times New Roman" w:hAnsi="Times New Roman" w:cs="Times New Roman"/>
        </w:rPr>
        <w:t>for colonization onto</w:t>
      </w:r>
      <w:r w:rsidR="00C64218" w:rsidRPr="007B7F6D">
        <w:rPr>
          <w:rFonts w:ascii="Times New Roman" w:hAnsi="Times New Roman" w:cs="Times New Roman"/>
        </w:rPr>
        <w:t xml:space="preserve"> host skin</w:t>
      </w:r>
      <w:r w:rsidR="00B41516" w:rsidRPr="007B7F6D">
        <w:rPr>
          <w:rFonts w:ascii="Times New Roman" w:hAnsi="Times New Roman" w:cs="Times New Roman"/>
        </w:rPr>
        <w:t>.</w:t>
      </w:r>
      <w:r w:rsidR="00B41516">
        <w:rPr>
          <w:rFonts w:ascii="Times New Roman" w:hAnsi="Times New Roman" w:cs="Times New Roman"/>
        </w:rPr>
        <w:t xml:space="preserve"> </w:t>
      </w:r>
      <w:r w:rsidR="00277174" w:rsidRPr="001A2EE0">
        <w:rPr>
          <w:rFonts w:ascii="Times New Roman" w:hAnsi="Times New Roman" w:cs="Times New Roman"/>
        </w:rPr>
        <w:t xml:space="preserve">In Chapter 1, I investigate small-scale similarity and differentiation between </w:t>
      </w:r>
      <w:r w:rsidR="000852FF">
        <w:rPr>
          <w:rFonts w:ascii="Times New Roman" w:hAnsi="Times New Roman" w:cs="Times New Roman"/>
        </w:rPr>
        <w:t>host species</w:t>
      </w:r>
      <w:r w:rsidR="00277174" w:rsidRPr="001A2EE0">
        <w:rPr>
          <w:rFonts w:ascii="Times New Roman" w:hAnsi="Times New Roman" w:cs="Times New Roman"/>
        </w:rPr>
        <w:t xml:space="preserve"> and cover objects along an aquatic and terrestrial interface to determine the effects of host species, habitat, and microhabitat. I find that bacterial communities associated with salamanders </w:t>
      </w:r>
      <w:r>
        <w:rPr>
          <w:rFonts w:ascii="Times New Roman" w:hAnsi="Times New Roman" w:cs="Times New Roman"/>
        </w:rPr>
        <w:t>display</w:t>
      </w:r>
      <w:r w:rsidR="00277174" w:rsidRPr="001A2EE0">
        <w:rPr>
          <w:rFonts w:ascii="Times New Roman" w:hAnsi="Times New Roman" w:cs="Times New Roman"/>
        </w:rPr>
        <w:t xml:space="preserve"> differentiation according to host species, </w:t>
      </w:r>
      <w:r w:rsidR="00CA504C" w:rsidRPr="001A2EE0">
        <w:rPr>
          <w:rFonts w:ascii="Times New Roman" w:hAnsi="Times New Roman" w:cs="Times New Roman"/>
        </w:rPr>
        <w:t xml:space="preserve">which is matched </w:t>
      </w:r>
      <w:r w:rsidR="00277174" w:rsidRPr="001A2EE0">
        <w:rPr>
          <w:rFonts w:ascii="Times New Roman" w:hAnsi="Times New Roman" w:cs="Times New Roman"/>
        </w:rPr>
        <w:t>in cover object communities</w:t>
      </w:r>
      <w:r w:rsidR="00187FE8">
        <w:rPr>
          <w:rFonts w:ascii="Times New Roman" w:hAnsi="Times New Roman" w:cs="Times New Roman"/>
        </w:rPr>
        <w:t xml:space="preserve"> suggesting microhabitat rather than host traits determine bacterial presence and community composition</w:t>
      </w:r>
      <w:r>
        <w:rPr>
          <w:rFonts w:ascii="Times New Roman" w:hAnsi="Times New Roman" w:cs="Times New Roman"/>
        </w:rPr>
        <w:t xml:space="preserve"> in heavily divergent communities</w:t>
      </w:r>
      <w:r w:rsidR="00277174" w:rsidRPr="001A2EE0">
        <w:rPr>
          <w:rFonts w:ascii="Times New Roman" w:hAnsi="Times New Roman" w:cs="Times New Roman"/>
        </w:rPr>
        <w:t xml:space="preserve">. To understand patterns of </w:t>
      </w:r>
      <w:r w:rsidR="000852FF">
        <w:rPr>
          <w:rFonts w:ascii="Times New Roman" w:hAnsi="Times New Roman" w:cs="Times New Roman"/>
        </w:rPr>
        <w:t>dissimilarity</w:t>
      </w:r>
      <w:r w:rsidR="00277174" w:rsidRPr="001A2EE0">
        <w:rPr>
          <w:rFonts w:ascii="Times New Roman" w:hAnsi="Times New Roman" w:cs="Times New Roman"/>
        </w:rPr>
        <w:t>, in Chapter 2, I test whether heterogeneity between salamander hosts, other salamander hosts, and their cover objects can be ex</w:t>
      </w:r>
      <w:r w:rsidR="00EC3B45" w:rsidRPr="001A2EE0">
        <w:rPr>
          <w:rFonts w:ascii="Times New Roman" w:hAnsi="Times New Roman" w:cs="Times New Roman"/>
        </w:rPr>
        <w:t xml:space="preserve">plained by priority effects, host selection, or stochastic dispersal in aquatic </w:t>
      </w:r>
      <w:r w:rsidR="003342A8">
        <w:rPr>
          <w:rFonts w:ascii="Times New Roman" w:hAnsi="Times New Roman" w:cs="Times New Roman"/>
        </w:rPr>
        <w:t>or</w:t>
      </w:r>
      <w:r w:rsidR="00EC3B45" w:rsidRPr="001A2EE0">
        <w:rPr>
          <w:rFonts w:ascii="Times New Roman" w:hAnsi="Times New Roman" w:cs="Times New Roman"/>
        </w:rPr>
        <w:t xml:space="preserve"> terrestrial habitats</w:t>
      </w:r>
      <w:r>
        <w:rPr>
          <w:rFonts w:ascii="Times New Roman" w:hAnsi="Times New Roman" w:cs="Times New Roman"/>
        </w:rPr>
        <w:t xml:space="preserve"> and find d</w:t>
      </w:r>
      <w:r w:rsidR="001A2EE0" w:rsidRPr="001A2EE0">
        <w:rPr>
          <w:rFonts w:ascii="Times New Roman" w:hAnsi="Times New Roman" w:cs="Times New Roman"/>
        </w:rPr>
        <w:t>i</w:t>
      </w:r>
      <w:r w:rsidR="00EC3B45" w:rsidRPr="001A2EE0">
        <w:rPr>
          <w:rFonts w:ascii="Times New Roman" w:hAnsi="Times New Roman" w:cs="Times New Roman"/>
        </w:rPr>
        <w:t xml:space="preserve">fferences between salamander-associated communities </w:t>
      </w:r>
      <w:r w:rsidR="00CA504C" w:rsidRPr="001A2EE0">
        <w:rPr>
          <w:rFonts w:ascii="Times New Roman" w:hAnsi="Times New Roman" w:cs="Times New Roman"/>
        </w:rPr>
        <w:t>are consistent with</w:t>
      </w:r>
      <w:r w:rsidR="00EC3B45" w:rsidRPr="001A2EE0">
        <w:rPr>
          <w:rFonts w:ascii="Times New Roman" w:hAnsi="Times New Roman" w:cs="Times New Roman"/>
        </w:rPr>
        <w:t xml:space="preserve"> stochastic colonization and extinction of environmental microbes. </w:t>
      </w:r>
      <w:r w:rsidR="003A28C2" w:rsidRPr="001A2EE0">
        <w:rPr>
          <w:rFonts w:ascii="Times New Roman" w:hAnsi="Times New Roman" w:cs="Times New Roman"/>
        </w:rPr>
        <w:t xml:space="preserve">In Chapter 3, I use the phenology of </w:t>
      </w:r>
      <w:r w:rsidR="003A28C2" w:rsidRPr="001A2EE0">
        <w:rPr>
          <w:rFonts w:ascii="Times New Roman" w:hAnsi="Times New Roman" w:cs="Times New Roman"/>
          <w:i/>
          <w:iCs/>
        </w:rPr>
        <w:t xml:space="preserve">E. </w:t>
      </w:r>
      <w:r w:rsidR="003A28C2" w:rsidRPr="001A2EE0">
        <w:rPr>
          <w:rFonts w:ascii="Times New Roman" w:hAnsi="Times New Roman" w:cs="Times New Roman"/>
        </w:rPr>
        <w:t>cf</w:t>
      </w:r>
      <w:r w:rsidR="003A28C2" w:rsidRPr="001A2EE0">
        <w:rPr>
          <w:rFonts w:ascii="Times New Roman" w:hAnsi="Times New Roman" w:cs="Times New Roman"/>
          <w:i/>
          <w:iCs/>
        </w:rPr>
        <w:t xml:space="preserve">. </w:t>
      </w:r>
      <w:proofErr w:type="spellStart"/>
      <w:r w:rsidR="003A28C2" w:rsidRPr="001A2EE0">
        <w:rPr>
          <w:rFonts w:ascii="Times New Roman" w:hAnsi="Times New Roman" w:cs="Times New Roman"/>
          <w:i/>
          <w:iCs/>
        </w:rPr>
        <w:t>wilderae</w:t>
      </w:r>
      <w:proofErr w:type="spellEnd"/>
      <w:r w:rsidR="003A28C2" w:rsidRPr="001A2EE0">
        <w:rPr>
          <w:rFonts w:ascii="Times New Roman" w:hAnsi="Times New Roman" w:cs="Times New Roman"/>
        </w:rPr>
        <w:t xml:space="preserve"> t</w:t>
      </w:r>
      <w:r w:rsidR="00EC3B45" w:rsidRPr="001A2EE0">
        <w:rPr>
          <w:rFonts w:ascii="Times New Roman" w:hAnsi="Times New Roman" w:cs="Times New Roman"/>
        </w:rPr>
        <w:t xml:space="preserve">o </w:t>
      </w:r>
      <w:r w:rsidR="003A28C2" w:rsidRPr="001A2EE0">
        <w:rPr>
          <w:rFonts w:ascii="Times New Roman" w:hAnsi="Times New Roman" w:cs="Times New Roman"/>
        </w:rPr>
        <w:t xml:space="preserve">understand </w:t>
      </w:r>
      <w:r w:rsidR="00A90FB9">
        <w:rPr>
          <w:rFonts w:ascii="Times New Roman" w:hAnsi="Times New Roman" w:cs="Times New Roman"/>
        </w:rPr>
        <w:t>the</w:t>
      </w:r>
      <w:r w:rsidR="003A28C2" w:rsidRPr="001A2EE0">
        <w:rPr>
          <w:rFonts w:ascii="Times New Roman" w:hAnsi="Times New Roman" w:cs="Times New Roman"/>
        </w:rPr>
        <w:t xml:space="preserve"> temporal </w:t>
      </w:r>
      <w:r w:rsidR="00CA504C" w:rsidRPr="001A2EE0">
        <w:rPr>
          <w:rFonts w:ascii="Times New Roman" w:hAnsi="Times New Roman" w:cs="Times New Roman"/>
        </w:rPr>
        <w:t>variability</w:t>
      </w:r>
      <w:r w:rsidR="003A28C2" w:rsidRPr="001A2EE0">
        <w:rPr>
          <w:rFonts w:ascii="Times New Roman" w:hAnsi="Times New Roman" w:cs="Times New Roman"/>
        </w:rPr>
        <w:t xml:space="preserve"> by sampling hosts seasonally for one year as hosts move between aquatic and terrestrial habitats. Host-associated communities </w:t>
      </w:r>
      <w:r w:rsidR="00B461A2" w:rsidRPr="001A2EE0">
        <w:rPr>
          <w:rFonts w:ascii="Times New Roman" w:hAnsi="Times New Roman" w:cs="Times New Roman"/>
        </w:rPr>
        <w:t>show</w:t>
      </w:r>
      <w:r w:rsidR="003A28C2" w:rsidRPr="001A2EE0">
        <w:rPr>
          <w:rFonts w:ascii="Times New Roman" w:hAnsi="Times New Roman" w:cs="Times New Roman"/>
        </w:rPr>
        <w:t xml:space="preserve"> turnover seasonally that is exacerbated </w:t>
      </w:r>
      <w:r w:rsidR="00187FE8">
        <w:rPr>
          <w:rFonts w:ascii="Times New Roman" w:hAnsi="Times New Roman" w:cs="Times New Roman"/>
        </w:rPr>
        <w:t>with habitat changes</w:t>
      </w:r>
      <w:r w:rsidR="003A28C2" w:rsidRPr="001A2EE0">
        <w:rPr>
          <w:rFonts w:ascii="Times New Roman" w:hAnsi="Times New Roman" w:cs="Times New Roman"/>
        </w:rPr>
        <w:t xml:space="preserve">. </w:t>
      </w:r>
      <w:r w:rsidR="00CA504C" w:rsidRPr="001A2EE0">
        <w:rPr>
          <w:rFonts w:ascii="Times New Roman" w:hAnsi="Times New Roman" w:cs="Times New Roman"/>
        </w:rPr>
        <w:t>However,</w:t>
      </w:r>
      <w:r w:rsidR="00B457DD" w:rsidRPr="001A2EE0">
        <w:rPr>
          <w:rFonts w:ascii="Times New Roman" w:hAnsi="Times New Roman" w:cs="Times New Roman"/>
        </w:rPr>
        <w:t xml:space="preserve"> </w:t>
      </w:r>
      <w:r w:rsidR="00CA504C" w:rsidRPr="001A2EE0">
        <w:rPr>
          <w:rFonts w:ascii="Times New Roman" w:hAnsi="Times New Roman" w:cs="Times New Roman"/>
        </w:rPr>
        <w:t xml:space="preserve">a small subset </w:t>
      </w:r>
      <w:r>
        <w:rPr>
          <w:rFonts w:ascii="Times New Roman" w:hAnsi="Times New Roman" w:cs="Times New Roman"/>
        </w:rPr>
        <w:t>shows</w:t>
      </w:r>
      <w:r w:rsidR="00B461A2" w:rsidRPr="001A2EE0">
        <w:rPr>
          <w:rFonts w:ascii="Times New Roman" w:hAnsi="Times New Roman" w:cs="Times New Roman"/>
        </w:rPr>
        <w:t xml:space="preserve"> </w:t>
      </w:r>
      <w:r w:rsidR="00466F47">
        <w:rPr>
          <w:rFonts w:ascii="Times New Roman" w:hAnsi="Times New Roman" w:cs="Times New Roman"/>
        </w:rPr>
        <w:t>evidence of non-random associations,</w:t>
      </w:r>
      <w:r w:rsidR="00B41516">
        <w:rPr>
          <w:rFonts w:ascii="Times New Roman" w:hAnsi="Times New Roman" w:cs="Times New Roman"/>
        </w:rPr>
        <w:t xml:space="preserve"> </w:t>
      </w:r>
      <w:r w:rsidR="00466F47">
        <w:rPr>
          <w:rFonts w:ascii="Times New Roman" w:hAnsi="Times New Roman" w:cs="Times New Roman"/>
        </w:rPr>
        <w:t>some</w:t>
      </w:r>
      <w:r w:rsidR="00B41516">
        <w:rPr>
          <w:rFonts w:ascii="Times New Roman" w:hAnsi="Times New Roman" w:cs="Times New Roman"/>
        </w:rPr>
        <w:t xml:space="preserve"> of </w:t>
      </w:r>
      <w:r w:rsidR="00466F47">
        <w:rPr>
          <w:rFonts w:ascii="Times New Roman" w:hAnsi="Times New Roman" w:cs="Times New Roman"/>
        </w:rPr>
        <w:t>which</w:t>
      </w:r>
      <w:r w:rsidR="00B41516">
        <w:rPr>
          <w:rFonts w:ascii="Times New Roman" w:hAnsi="Times New Roman" w:cs="Times New Roman"/>
        </w:rPr>
        <w:t xml:space="preserve"> can produce antifungal </w:t>
      </w:r>
      <w:r w:rsidR="00466F47">
        <w:rPr>
          <w:rFonts w:ascii="Times New Roman" w:hAnsi="Times New Roman" w:cs="Times New Roman"/>
        </w:rPr>
        <w:t>metabolites</w:t>
      </w:r>
      <w:r w:rsidR="00B41516">
        <w:rPr>
          <w:rFonts w:ascii="Times New Roman" w:hAnsi="Times New Roman" w:cs="Times New Roman"/>
        </w:rPr>
        <w:t xml:space="preserve">, </w:t>
      </w:r>
      <w:r w:rsidR="00466F47">
        <w:rPr>
          <w:rFonts w:ascii="Times New Roman" w:hAnsi="Times New Roman" w:cs="Times New Roman"/>
        </w:rPr>
        <w:t xml:space="preserve">potentially providing </w:t>
      </w:r>
      <w:r w:rsidR="00B41516">
        <w:rPr>
          <w:rFonts w:ascii="Times New Roman" w:hAnsi="Times New Roman" w:cs="Times New Roman"/>
        </w:rPr>
        <w:t xml:space="preserve">a defensive function for hosts. </w:t>
      </w:r>
      <w:r w:rsidR="007B17DA" w:rsidRPr="001A2EE0">
        <w:rPr>
          <w:rFonts w:ascii="Times New Roman" w:hAnsi="Times New Roman" w:cs="Times New Roman"/>
        </w:rPr>
        <w:t xml:space="preserve">These results </w:t>
      </w:r>
      <w:r w:rsidR="00B41516">
        <w:rPr>
          <w:rFonts w:ascii="Times New Roman" w:hAnsi="Times New Roman" w:cs="Times New Roman"/>
        </w:rPr>
        <w:t xml:space="preserve">that </w:t>
      </w:r>
      <w:r w:rsidR="00B461A2" w:rsidRPr="001A2EE0">
        <w:rPr>
          <w:rFonts w:ascii="Times New Roman" w:hAnsi="Times New Roman" w:cs="Times New Roman"/>
        </w:rPr>
        <w:t>suggest stochastic processes dominate the amphibian skin microbiome with little evidence</w:t>
      </w:r>
      <w:r w:rsidR="001A2EE0">
        <w:rPr>
          <w:rFonts w:ascii="Times New Roman" w:hAnsi="Times New Roman" w:cs="Times New Roman"/>
        </w:rPr>
        <w:t xml:space="preserve"> </w:t>
      </w:r>
      <w:r w:rsidR="00551143">
        <w:rPr>
          <w:rFonts w:ascii="Times New Roman" w:hAnsi="Times New Roman" w:cs="Times New Roman"/>
        </w:rPr>
        <w:t xml:space="preserve">for deterministic structuring. </w:t>
      </w:r>
      <w:r>
        <w:rPr>
          <w:rFonts w:ascii="Times New Roman" w:hAnsi="Times New Roman" w:cs="Times New Roman"/>
        </w:rPr>
        <w:t>Despite this</w:t>
      </w:r>
      <w:r w:rsidR="00551143">
        <w:rPr>
          <w:rFonts w:ascii="Times New Roman" w:hAnsi="Times New Roman" w:cs="Times New Roman"/>
        </w:rPr>
        <w:t xml:space="preserve"> high heterogeneity between hosts, we identify a few </w:t>
      </w:r>
      <w:r w:rsidR="00B41516">
        <w:rPr>
          <w:rFonts w:ascii="Times New Roman" w:hAnsi="Times New Roman" w:cs="Times New Roman"/>
        </w:rPr>
        <w:t xml:space="preserve">microbial taxa </w:t>
      </w:r>
      <w:r w:rsidR="00551143">
        <w:rPr>
          <w:rFonts w:ascii="Times New Roman" w:hAnsi="Times New Roman" w:cs="Times New Roman"/>
        </w:rPr>
        <w:t xml:space="preserve">as candidates for </w:t>
      </w:r>
      <w:r w:rsidR="00B41516">
        <w:rPr>
          <w:rFonts w:ascii="Times New Roman" w:hAnsi="Times New Roman" w:cs="Times New Roman"/>
        </w:rPr>
        <w:t>investigating</w:t>
      </w:r>
      <w:r w:rsidR="00551143">
        <w:rPr>
          <w:rFonts w:ascii="Times New Roman" w:hAnsi="Times New Roman" w:cs="Times New Roman"/>
        </w:rPr>
        <w:t xml:space="preserve"> </w:t>
      </w:r>
      <w:r w:rsidR="000852FF">
        <w:rPr>
          <w:rFonts w:ascii="Times New Roman" w:hAnsi="Times New Roman" w:cs="Times New Roman"/>
        </w:rPr>
        <w:t xml:space="preserve">mechanisms </w:t>
      </w:r>
      <w:r w:rsidR="00B41516">
        <w:rPr>
          <w:rFonts w:ascii="Times New Roman" w:hAnsi="Times New Roman" w:cs="Times New Roman"/>
        </w:rPr>
        <w:t xml:space="preserve">that </w:t>
      </w:r>
      <w:r w:rsidR="00551143">
        <w:rPr>
          <w:rFonts w:ascii="Times New Roman" w:hAnsi="Times New Roman" w:cs="Times New Roman"/>
        </w:rPr>
        <w:t>promote</w:t>
      </w:r>
      <w:r w:rsidR="000852FF">
        <w:rPr>
          <w:rFonts w:ascii="Times New Roman" w:hAnsi="Times New Roman" w:cs="Times New Roman"/>
        </w:rPr>
        <w:t xml:space="preserve"> </w:t>
      </w:r>
      <w:r w:rsidR="00551143">
        <w:rPr>
          <w:rFonts w:ascii="Times New Roman" w:hAnsi="Times New Roman" w:cs="Times New Roman"/>
        </w:rPr>
        <w:t>persistence on amphibian skin.</w:t>
      </w:r>
    </w:p>
    <w:p w14:paraId="608DFADA" w14:textId="112B2C09"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TABLE OF CONTENTS</w:t>
      </w:r>
    </w:p>
    <w:p w14:paraId="41DD67BE" w14:textId="77777777" w:rsidR="00387656" w:rsidRPr="00673C42" w:rsidRDefault="00387656" w:rsidP="00B72141">
      <w:pPr>
        <w:pStyle w:val="Title"/>
        <w:jc w:val="left"/>
        <w:rPr>
          <w:rFonts w:ascii="Times New Roman" w:hAnsi="Times New Roman" w:cs="Times New Roman"/>
          <w:sz w:val="24"/>
        </w:rPr>
      </w:pPr>
    </w:p>
    <w:p w14:paraId="5C5511E7" w14:textId="4C242760" w:rsidR="00415D20" w:rsidRDefault="00FF7E6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r>
        <w:rPr>
          <w:rFonts w:cs="Times New Roman"/>
          <w:b w:val="0"/>
          <w:bCs w:val="0"/>
        </w:rPr>
        <w:fldChar w:fldCharType="begin"/>
      </w:r>
      <w:r>
        <w:rPr>
          <w:rFonts w:cs="Times New Roman"/>
          <w:b w:val="0"/>
          <w:bCs w:val="0"/>
        </w:rPr>
        <w:instrText xml:space="preserve"> TOC \o "1-3" \h \z \u </w:instrText>
      </w:r>
      <w:r>
        <w:rPr>
          <w:rFonts w:cs="Times New Roman"/>
          <w:b w:val="0"/>
          <w:bCs w:val="0"/>
        </w:rPr>
        <w:fldChar w:fldCharType="separate"/>
      </w:r>
      <w:hyperlink w:anchor="_Toc165028040" w:history="1">
        <w:r w:rsidR="00415D20" w:rsidRPr="000719E3">
          <w:rPr>
            <w:rStyle w:val="Hyperlink"/>
            <w:rFonts w:cs="Times New Roman"/>
            <w:noProof/>
          </w:rPr>
          <w:t>INTRODUCTION</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_Toc165028040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1</w:t>
        </w:r>
        <w:r w:rsidR="00415D20" w:rsidRPr="001648DD">
          <w:rPr>
            <w:b w:val="0"/>
            <w:bCs w:val="0"/>
            <w:noProof/>
            <w:webHidden/>
          </w:rPr>
          <w:fldChar w:fldCharType="end"/>
        </w:r>
      </w:hyperlink>
    </w:p>
    <w:p w14:paraId="469CAAC0" w14:textId="10313405"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1" w:history="1">
        <w:r w:rsidR="00415D20" w:rsidRPr="000719E3">
          <w:rPr>
            <w:rStyle w:val="Hyperlink"/>
            <w:rFonts w:cs="Times New Roman"/>
            <w:noProof/>
          </w:rPr>
          <w:t>Symbiosis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_Toc165028041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1</w:t>
        </w:r>
        <w:r w:rsidR="00415D20" w:rsidRPr="001648DD">
          <w:rPr>
            <w:b w:val="0"/>
            <w:bCs/>
            <w:noProof/>
            <w:webHidden/>
          </w:rPr>
          <w:fldChar w:fldCharType="end"/>
        </w:r>
      </w:hyperlink>
    </w:p>
    <w:p w14:paraId="034F6DCE" w14:textId="4423E924"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2" w:history="1">
        <w:r w:rsidR="00415D20" w:rsidRPr="000719E3">
          <w:rPr>
            <w:rStyle w:val="Hyperlink"/>
            <w:rFonts w:cs="Times New Roman"/>
            <w:noProof/>
          </w:rPr>
          <w:t>The amphibian skin as a stage for symbiosis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_Toc165028042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4</w:t>
        </w:r>
        <w:r w:rsidR="00415D20" w:rsidRPr="001648DD">
          <w:rPr>
            <w:b w:val="0"/>
            <w:bCs/>
            <w:noProof/>
            <w:webHidden/>
          </w:rPr>
          <w:fldChar w:fldCharType="end"/>
        </w:r>
      </w:hyperlink>
    </w:p>
    <w:p w14:paraId="19343A73" w14:textId="02356949"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3" w:history="1">
        <w:r w:rsidR="00415D20" w:rsidRPr="000719E3">
          <w:rPr>
            <w:rStyle w:val="Hyperlink"/>
            <w:rFonts w:cs="Times New Roman"/>
            <w:noProof/>
          </w:rPr>
          <w:t>Plethodontid salamanders as a system for intra and inter-specific differences in the skin microbiome</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_Toc165028043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6</w:t>
        </w:r>
        <w:r w:rsidR="00415D20" w:rsidRPr="001648DD">
          <w:rPr>
            <w:b w:val="0"/>
            <w:bCs/>
            <w:noProof/>
            <w:webHidden/>
          </w:rPr>
          <w:fldChar w:fldCharType="end"/>
        </w:r>
      </w:hyperlink>
    </w:p>
    <w:p w14:paraId="03B3139E" w14:textId="76E86AE0"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4" w:history="1">
        <w:r w:rsidR="00415D20" w:rsidRPr="000719E3">
          <w:rPr>
            <w:rStyle w:val="Hyperlink"/>
            <w:rFonts w:cs="Times New Roman"/>
            <w:noProof/>
          </w:rPr>
          <w:t xml:space="preserve">Fungal pathogens </w:t>
        </w:r>
        <w:r w:rsidR="00415D20" w:rsidRPr="000719E3">
          <w:rPr>
            <w:rStyle w:val="Hyperlink"/>
            <w:rFonts w:cs="Times New Roman"/>
            <w:i/>
            <w:noProof/>
          </w:rPr>
          <w:t>Batrachochytrium dendrobatidis</w:t>
        </w:r>
        <w:r w:rsidR="00415D20" w:rsidRPr="000719E3">
          <w:rPr>
            <w:rStyle w:val="Hyperlink"/>
            <w:rFonts w:cs="Times New Roman"/>
            <w:noProof/>
          </w:rPr>
          <w:t xml:space="preserve"> and </w:t>
        </w:r>
        <w:r w:rsidR="00415D20" w:rsidRPr="000719E3">
          <w:rPr>
            <w:rStyle w:val="Hyperlink"/>
            <w:rFonts w:cs="Times New Roman"/>
            <w:i/>
            <w:noProof/>
          </w:rPr>
          <w:t xml:space="preserve">Batrachochytrium salamandrivorans </w:t>
        </w:r>
        <w:r w:rsidR="00415D20" w:rsidRPr="000719E3">
          <w:rPr>
            <w:rStyle w:val="Hyperlink"/>
            <w:rFonts w:cs="Times New Roman"/>
            <w:noProof/>
          </w:rPr>
          <w:t>and defensive symbionts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_Toc165028044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7</w:t>
        </w:r>
        <w:r w:rsidR="00415D20" w:rsidRPr="001648DD">
          <w:rPr>
            <w:b w:val="0"/>
            <w:bCs/>
            <w:noProof/>
            <w:webHidden/>
          </w:rPr>
          <w:fldChar w:fldCharType="end"/>
        </w:r>
      </w:hyperlink>
    </w:p>
    <w:p w14:paraId="0804439B" w14:textId="6DC10164"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5" w:history="1">
        <w:r w:rsidR="00415D20" w:rsidRPr="000719E3">
          <w:rPr>
            <w:rStyle w:val="Hyperlink"/>
            <w:rFonts w:cs="Times New Roman"/>
            <w:noProof/>
          </w:rPr>
          <w:t>Chapter overviews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_Toc165028045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9</w:t>
        </w:r>
        <w:r w:rsidR="00415D20" w:rsidRPr="001648DD">
          <w:rPr>
            <w:b w:val="0"/>
            <w:bCs/>
            <w:noProof/>
            <w:webHidden/>
          </w:rPr>
          <w:fldChar w:fldCharType="end"/>
        </w:r>
      </w:hyperlink>
    </w:p>
    <w:p w14:paraId="26A2556C" w14:textId="69A6E0CD"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46" w:history="1">
        <w:r w:rsidR="00415D20" w:rsidRPr="000719E3">
          <w:rPr>
            <w:rStyle w:val="Hyperlink"/>
            <w:rFonts w:cs="Times New Roman"/>
            <w:noProof/>
          </w:rPr>
          <w:t>CHAPTER I</w:t>
        </w:r>
        <w:r w:rsidR="00C13E2E">
          <w:rPr>
            <w:rStyle w:val="Hyperlink"/>
            <w:rFonts w:cs="Times New Roman"/>
            <w:noProof/>
          </w:rPr>
          <w:t>:</w:t>
        </w:r>
        <w:r w:rsidR="00415D20" w:rsidRPr="000719E3">
          <w:rPr>
            <w:rStyle w:val="Hyperlink"/>
            <w:rFonts w:cs="Times New Roman"/>
            <w:noProof/>
          </w:rPr>
          <w:t xml:space="preserve"> Similarity and Differentiation of Amphibian Skin Microbiomes by Habitat, Microhabitat, and Host Species</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_Toc165028046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11</w:t>
        </w:r>
        <w:r w:rsidR="00415D20" w:rsidRPr="001648DD">
          <w:rPr>
            <w:b w:val="0"/>
            <w:bCs w:val="0"/>
            <w:noProof/>
            <w:webHidden/>
          </w:rPr>
          <w:fldChar w:fldCharType="end"/>
        </w:r>
      </w:hyperlink>
    </w:p>
    <w:p w14:paraId="3CB3C7FB" w14:textId="4D5FF65F"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7" w:history="1">
        <w:r w:rsidR="00415D20" w:rsidRPr="000719E3">
          <w:rPr>
            <w:rStyle w:val="Hyperlink"/>
            <w:rFonts w:cs="Times New Roman"/>
            <w:noProof/>
          </w:rPr>
          <w:t>Abstract</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_Toc165028047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12</w:t>
        </w:r>
        <w:r w:rsidR="00415D20" w:rsidRPr="001648DD">
          <w:rPr>
            <w:b w:val="0"/>
            <w:bCs/>
            <w:noProof/>
            <w:webHidden/>
          </w:rPr>
          <w:fldChar w:fldCharType="end"/>
        </w:r>
      </w:hyperlink>
    </w:p>
    <w:p w14:paraId="580BC76B" w14:textId="1CACCC8D"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8" w:history="1">
        <w:r w:rsidR="00415D20" w:rsidRPr="000719E3">
          <w:rPr>
            <w:rStyle w:val="Hyperlink"/>
            <w:rFonts w:cs="Times New Roman"/>
            <w:noProof/>
          </w:rPr>
          <w:t>Introduction</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_Toc165028048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12</w:t>
        </w:r>
        <w:r w:rsidR="00415D20" w:rsidRPr="001648DD">
          <w:rPr>
            <w:b w:val="0"/>
            <w:bCs/>
            <w:noProof/>
            <w:webHidden/>
          </w:rPr>
          <w:fldChar w:fldCharType="end"/>
        </w:r>
      </w:hyperlink>
    </w:p>
    <w:p w14:paraId="56EE288A" w14:textId="4717CA5A"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49" w:history="1">
        <w:r w:rsidR="00415D20" w:rsidRPr="000719E3">
          <w:rPr>
            <w:rStyle w:val="Hyperlink"/>
            <w:rFonts w:cs="Times New Roman"/>
            <w:noProof/>
          </w:rPr>
          <w:t>Materials and Methods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_Toc165028049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15</w:t>
        </w:r>
        <w:r w:rsidR="00415D20" w:rsidRPr="001648DD">
          <w:rPr>
            <w:b w:val="0"/>
            <w:bCs/>
            <w:noProof/>
            <w:webHidden/>
          </w:rPr>
          <w:fldChar w:fldCharType="end"/>
        </w:r>
      </w:hyperlink>
    </w:p>
    <w:p w14:paraId="099619B7" w14:textId="768AD751"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0" w:history="1">
        <w:r w:rsidR="00415D20" w:rsidRPr="000719E3">
          <w:rPr>
            <w:rStyle w:val="Hyperlink"/>
            <w:rFonts w:cs="Times New Roman"/>
            <w:noProof/>
          </w:rPr>
          <w:t>Field sampling</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_Toc165028050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15</w:t>
        </w:r>
        <w:r w:rsidR="00415D20" w:rsidRPr="001648DD">
          <w:rPr>
            <w:i w:val="0"/>
            <w:iCs w:val="0"/>
            <w:noProof/>
            <w:webHidden/>
          </w:rPr>
          <w:fldChar w:fldCharType="end"/>
        </w:r>
      </w:hyperlink>
    </w:p>
    <w:p w14:paraId="5E654451" w14:textId="27202750"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1" w:history="1">
        <w:r w:rsidR="00415D20" w:rsidRPr="000719E3">
          <w:rPr>
            <w:rStyle w:val="Hyperlink"/>
            <w:rFonts w:cs="Times New Roman"/>
            <w:noProof/>
          </w:rPr>
          <w:t>16S library preparation</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_Toc165028051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15</w:t>
        </w:r>
        <w:r w:rsidR="00415D20" w:rsidRPr="001648DD">
          <w:rPr>
            <w:i w:val="0"/>
            <w:iCs w:val="0"/>
            <w:noProof/>
            <w:webHidden/>
          </w:rPr>
          <w:fldChar w:fldCharType="end"/>
        </w:r>
      </w:hyperlink>
    </w:p>
    <w:p w14:paraId="6DFAB229" w14:textId="2CD29CD4"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2" w:history="1">
        <w:r w:rsidR="00415D20" w:rsidRPr="000719E3">
          <w:rPr>
            <w:rStyle w:val="Hyperlink"/>
            <w:rFonts w:cs="Times New Roman"/>
            <w:noProof/>
          </w:rPr>
          <w:t>Bioinformatics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_Toc165028052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16</w:t>
        </w:r>
        <w:r w:rsidR="00415D20" w:rsidRPr="001648DD">
          <w:rPr>
            <w:i w:val="0"/>
            <w:iCs w:val="0"/>
            <w:noProof/>
            <w:webHidden/>
          </w:rPr>
          <w:fldChar w:fldCharType="end"/>
        </w:r>
      </w:hyperlink>
    </w:p>
    <w:p w14:paraId="4591CDD3" w14:textId="2CB2E17B"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3" w:history="1">
        <w:r w:rsidR="00415D20" w:rsidRPr="000719E3">
          <w:rPr>
            <w:rStyle w:val="Hyperlink"/>
            <w:rFonts w:cs="Times New Roman"/>
            <w:noProof/>
          </w:rPr>
          <w:t>Rarefaction and diversity</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_Toc165028053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17</w:t>
        </w:r>
        <w:r w:rsidR="00415D20" w:rsidRPr="001648DD">
          <w:rPr>
            <w:i w:val="0"/>
            <w:iCs w:val="0"/>
            <w:noProof/>
            <w:webHidden/>
          </w:rPr>
          <w:fldChar w:fldCharType="end"/>
        </w:r>
      </w:hyperlink>
    </w:p>
    <w:p w14:paraId="0591E5F5" w14:textId="2102DFC3"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4" w:history="1">
        <w:r w:rsidR="00415D20" w:rsidRPr="000719E3">
          <w:rPr>
            <w:rStyle w:val="Hyperlink"/>
            <w:rFonts w:cs="Times New Roman"/>
            <w:noProof/>
          </w:rPr>
          <w:t>Beta diversity</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_Toc165028054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18</w:t>
        </w:r>
        <w:r w:rsidR="00415D20" w:rsidRPr="001648DD">
          <w:rPr>
            <w:i w:val="0"/>
            <w:iCs w:val="0"/>
            <w:noProof/>
            <w:webHidden/>
          </w:rPr>
          <w:fldChar w:fldCharType="end"/>
        </w:r>
      </w:hyperlink>
    </w:p>
    <w:p w14:paraId="492F945C" w14:textId="1D14AA0A"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5" w:history="1">
        <w:r w:rsidR="00415D20" w:rsidRPr="000719E3">
          <w:rPr>
            <w:rStyle w:val="Hyperlink"/>
            <w:rFonts w:cs="Times New Roman"/>
            <w:noProof/>
          </w:rPr>
          <w:t>Alpha diversity</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_Toc165028055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19</w:t>
        </w:r>
        <w:r w:rsidR="00415D20" w:rsidRPr="001648DD">
          <w:rPr>
            <w:i w:val="0"/>
            <w:iCs w:val="0"/>
            <w:noProof/>
            <w:webHidden/>
          </w:rPr>
          <w:fldChar w:fldCharType="end"/>
        </w:r>
      </w:hyperlink>
    </w:p>
    <w:p w14:paraId="415B7BA4" w14:textId="7AF97D23"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6" w:history="1">
        <w:r w:rsidR="00415D20" w:rsidRPr="000719E3">
          <w:rPr>
            <w:rStyle w:val="Hyperlink"/>
            <w:rFonts w:cs="Times New Roman"/>
            <w:noProof/>
          </w:rPr>
          <w:t>Indicator species analysis and community composition</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_Toc165028056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19</w:t>
        </w:r>
        <w:r w:rsidR="00415D20" w:rsidRPr="001648DD">
          <w:rPr>
            <w:i w:val="0"/>
            <w:iCs w:val="0"/>
            <w:noProof/>
            <w:webHidden/>
          </w:rPr>
          <w:fldChar w:fldCharType="end"/>
        </w:r>
      </w:hyperlink>
    </w:p>
    <w:p w14:paraId="6DA323D5" w14:textId="283F1366"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57" w:history="1">
        <w:r w:rsidR="00415D20" w:rsidRPr="000719E3">
          <w:rPr>
            <w:rStyle w:val="Hyperlink"/>
            <w:rFonts w:cs="Times New Roman"/>
            <w:noProof/>
          </w:rPr>
          <w:t>Results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_Toc165028057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19</w:t>
        </w:r>
        <w:r w:rsidR="00415D20" w:rsidRPr="001648DD">
          <w:rPr>
            <w:b w:val="0"/>
            <w:bCs/>
            <w:noProof/>
            <w:webHidden/>
          </w:rPr>
          <w:fldChar w:fldCharType="end"/>
        </w:r>
      </w:hyperlink>
    </w:p>
    <w:p w14:paraId="26A299BE" w14:textId="75D8AC33"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8" w:history="1">
        <w:r w:rsidR="00415D20" w:rsidRPr="000719E3">
          <w:rPr>
            <w:rStyle w:val="Hyperlink"/>
            <w:rFonts w:cs="Times New Roman"/>
            <w:noProof/>
          </w:rPr>
          <w:t>Heterogeneity is high for salamander hosts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_Toc165028058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19</w:t>
        </w:r>
        <w:r w:rsidR="00415D20" w:rsidRPr="001648DD">
          <w:rPr>
            <w:i w:val="0"/>
            <w:iCs w:val="0"/>
            <w:noProof/>
            <w:webHidden/>
          </w:rPr>
          <w:fldChar w:fldCharType="end"/>
        </w:r>
      </w:hyperlink>
    </w:p>
    <w:p w14:paraId="46F0CF23" w14:textId="551B4C18"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59" w:history="1">
        <w:r w:rsidR="00415D20" w:rsidRPr="000719E3">
          <w:rPr>
            <w:rStyle w:val="Hyperlink"/>
            <w:rFonts w:cs="Times New Roman"/>
            <w:noProof/>
          </w:rPr>
          <w:t>Hosts less diverse than cover objects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_Toc165028059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25</w:t>
        </w:r>
        <w:r w:rsidR="00415D20" w:rsidRPr="001648DD">
          <w:rPr>
            <w:i w:val="0"/>
            <w:iCs w:val="0"/>
            <w:noProof/>
            <w:webHidden/>
          </w:rPr>
          <w:fldChar w:fldCharType="end"/>
        </w:r>
      </w:hyperlink>
    </w:p>
    <w:p w14:paraId="1F4745A3" w14:textId="1107D94D"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60" w:history="1">
        <w:r w:rsidR="00415D20" w:rsidRPr="000719E3">
          <w:rPr>
            <w:rStyle w:val="Hyperlink"/>
            <w:rFonts w:cs="Times New Roman"/>
            <w:noProof/>
          </w:rPr>
          <w:t>Indicator species analysis and community compositio</w:t>
        </w:r>
        <w:r w:rsidR="00415D20" w:rsidRPr="001648DD">
          <w:rPr>
            <w:rStyle w:val="Hyperlink"/>
            <w:rFonts w:cs="Times New Roman"/>
            <w:noProof/>
          </w:rPr>
          <w:t>n</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_Toc165028060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25</w:t>
        </w:r>
        <w:r w:rsidR="00415D20" w:rsidRPr="001648DD">
          <w:rPr>
            <w:i w:val="0"/>
            <w:iCs w:val="0"/>
            <w:noProof/>
            <w:webHidden/>
          </w:rPr>
          <w:fldChar w:fldCharType="end"/>
        </w:r>
      </w:hyperlink>
    </w:p>
    <w:p w14:paraId="0C47427A" w14:textId="7D3C9233"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61" w:history="1">
        <w:r w:rsidR="00415D20" w:rsidRPr="000719E3">
          <w:rPr>
            <w:rStyle w:val="Hyperlink"/>
            <w:rFonts w:cs="Times New Roman"/>
            <w:noProof/>
          </w:rPr>
          <w:t>CHAPTER II</w:t>
        </w:r>
        <w:r w:rsidR="006F27AB">
          <w:rPr>
            <w:rStyle w:val="Hyperlink"/>
            <w:rFonts w:cs="Times New Roman"/>
            <w:noProof/>
          </w:rPr>
          <w:t>:</w:t>
        </w:r>
        <w:r w:rsidR="00415D20" w:rsidRPr="000719E3">
          <w:rPr>
            <w:rStyle w:val="Hyperlink"/>
            <w:rFonts w:cs="Times New Roman"/>
            <w:noProof/>
          </w:rPr>
          <w:t xml:space="preserve"> Signatures of stochastic colonization and extinction dominate salamander skin microbiomes</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_Toc165028061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35</w:t>
        </w:r>
        <w:r w:rsidR="00415D20" w:rsidRPr="001648DD">
          <w:rPr>
            <w:b w:val="0"/>
            <w:bCs w:val="0"/>
            <w:noProof/>
            <w:webHidden/>
          </w:rPr>
          <w:fldChar w:fldCharType="end"/>
        </w:r>
      </w:hyperlink>
    </w:p>
    <w:p w14:paraId="24CE0801" w14:textId="14D18FC7"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62" w:history="1">
        <w:r w:rsidR="00415D20" w:rsidRPr="000719E3">
          <w:rPr>
            <w:rStyle w:val="Hyperlink"/>
            <w:rFonts w:cs="Times New Roman"/>
            <w:noProof/>
          </w:rPr>
          <w:t>Abstract</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_Toc165028062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36</w:t>
        </w:r>
        <w:r w:rsidR="00415D20" w:rsidRPr="001648DD">
          <w:rPr>
            <w:b w:val="0"/>
            <w:bCs/>
            <w:noProof/>
            <w:webHidden/>
          </w:rPr>
          <w:fldChar w:fldCharType="end"/>
        </w:r>
      </w:hyperlink>
    </w:p>
    <w:p w14:paraId="0F15E55C" w14:textId="0823D581"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63" w:history="1">
        <w:r w:rsidR="00415D20" w:rsidRPr="000719E3">
          <w:rPr>
            <w:rStyle w:val="Hyperlink"/>
            <w:rFonts w:cs="Times New Roman"/>
            <w:noProof/>
          </w:rPr>
          <w:t>Introduction</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_Toc165028063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36</w:t>
        </w:r>
        <w:r w:rsidR="00415D20" w:rsidRPr="001648DD">
          <w:rPr>
            <w:b w:val="0"/>
            <w:bCs/>
            <w:noProof/>
            <w:webHidden/>
          </w:rPr>
          <w:fldChar w:fldCharType="end"/>
        </w:r>
      </w:hyperlink>
    </w:p>
    <w:p w14:paraId="560CA97A" w14:textId="7CC583F4"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64" w:history="1">
        <w:r w:rsidR="00415D20" w:rsidRPr="000719E3">
          <w:rPr>
            <w:rStyle w:val="Hyperlink"/>
            <w:rFonts w:cs="Times New Roman"/>
            <w:noProof/>
          </w:rPr>
          <w:t>Materials and Methods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_Toc165028064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40</w:t>
        </w:r>
        <w:r w:rsidR="00415D20" w:rsidRPr="001648DD">
          <w:rPr>
            <w:b w:val="0"/>
            <w:bCs/>
            <w:noProof/>
            <w:webHidden/>
          </w:rPr>
          <w:fldChar w:fldCharType="end"/>
        </w:r>
      </w:hyperlink>
    </w:p>
    <w:p w14:paraId="3ECE89DB" w14:textId="5A42DEB4"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65" w:history="1">
        <w:r w:rsidR="00415D20" w:rsidRPr="000719E3">
          <w:rPr>
            <w:rStyle w:val="Hyperlink"/>
            <w:rFonts w:cs="Times New Roman"/>
            <w:noProof/>
          </w:rPr>
          <w:t>Sample collection</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_Toc165028065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40</w:t>
        </w:r>
        <w:r w:rsidR="00415D20" w:rsidRPr="001648DD">
          <w:rPr>
            <w:i w:val="0"/>
            <w:iCs w:val="0"/>
            <w:noProof/>
            <w:webHidden/>
          </w:rPr>
          <w:fldChar w:fldCharType="end"/>
        </w:r>
      </w:hyperlink>
    </w:p>
    <w:p w14:paraId="148B7CEA" w14:textId="43509B0F"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66" w:history="1">
        <w:r w:rsidR="00415D20" w:rsidRPr="000719E3">
          <w:rPr>
            <w:rStyle w:val="Hyperlink"/>
            <w:rFonts w:cs="Times New Roman"/>
            <w:noProof/>
          </w:rPr>
          <w:t>Library preparation, sequencing, and bioinformatics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_Toc165028066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40</w:t>
        </w:r>
        <w:r w:rsidR="00415D20" w:rsidRPr="001648DD">
          <w:rPr>
            <w:i w:val="0"/>
            <w:iCs w:val="0"/>
            <w:noProof/>
            <w:webHidden/>
          </w:rPr>
          <w:fldChar w:fldCharType="end"/>
        </w:r>
      </w:hyperlink>
    </w:p>
    <w:p w14:paraId="4643D521" w14:textId="2E4D98B4"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67" w:history="1">
        <w:r w:rsidR="00415D20" w:rsidRPr="000719E3">
          <w:rPr>
            <w:rStyle w:val="Hyperlink"/>
            <w:rFonts w:cs="Times New Roman"/>
            <w:noProof/>
          </w:rPr>
          <w:t>Diversity within and between samples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_Toc165028067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42</w:t>
        </w:r>
        <w:r w:rsidR="00415D20" w:rsidRPr="001648DD">
          <w:rPr>
            <w:i w:val="0"/>
            <w:iCs w:val="0"/>
            <w:noProof/>
            <w:webHidden/>
          </w:rPr>
          <w:fldChar w:fldCharType="end"/>
        </w:r>
      </w:hyperlink>
    </w:p>
    <w:p w14:paraId="33542EB4" w14:textId="6C9C5845"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68" w:history="1">
        <w:r w:rsidR="00415D20" w:rsidRPr="000719E3">
          <w:rPr>
            <w:rStyle w:val="Hyperlink"/>
            <w:rFonts w:cs="Times New Roman"/>
            <w:noProof/>
          </w:rPr>
          <w:t>Null model for community assembly</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_Toc165028068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43</w:t>
        </w:r>
        <w:r w:rsidR="00415D20" w:rsidRPr="001648DD">
          <w:rPr>
            <w:i w:val="0"/>
            <w:iCs w:val="0"/>
            <w:noProof/>
            <w:webHidden/>
          </w:rPr>
          <w:fldChar w:fldCharType="end"/>
        </w:r>
      </w:hyperlink>
    </w:p>
    <w:p w14:paraId="3F906F74" w14:textId="41DC425A"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69" w:history="1">
        <w:r w:rsidR="00415D20" w:rsidRPr="000719E3">
          <w:rPr>
            <w:rStyle w:val="Hyperlink"/>
            <w:rFonts w:cs="Times New Roman"/>
            <w:noProof/>
          </w:rPr>
          <w:t>Correlation of shared sequences and identification of indicator species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_Toc165028069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45</w:t>
        </w:r>
        <w:r w:rsidR="00415D20" w:rsidRPr="001648DD">
          <w:rPr>
            <w:i w:val="0"/>
            <w:iCs w:val="0"/>
            <w:noProof/>
            <w:webHidden/>
          </w:rPr>
          <w:fldChar w:fldCharType="end"/>
        </w:r>
      </w:hyperlink>
    </w:p>
    <w:p w14:paraId="23109A98" w14:textId="6E2BBD69"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70" w:history="1">
        <w:r w:rsidR="00415D20" w:rsidRPr="000719E3">
          <w:rPr>
            <w:rStyle w:val="Hyperlink"/>
            <w:rFonts w:cs="Times New Roman"/>
            <w:noProof/>
          </w:rPr>
          <w:t>Results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_Toc165028070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45</w:t>
        </w:r>
        <w:r w:rsidR="00415D20" w:rsidRPr="001648DD">
          <w:rPr>
            <w:b w:val="0"/>
            <w:bCs/>
            <w:noProof/>
            <w:webHidden/>
          </w:rPr>
          <w:fldChar w:fldCharType="end"/>
        </w:r>
      </w:hyperlink>
    </w:p>
    <w:p w14:paraId="4F0790CF" w14:textId="064FF923"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71" w:history="1">
        <w:r w:rsidR="00415D20" w:rsidRPr="000719E3">
          <w:rPr>
            <w:rStyle w:val="Hyperlink"/>
            <w:rFonts w:cs="Times New Roman"/>
            <w:noProof/>
          </w:rPr>
          <w:t>Hosts harbor less species than cover objects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_Toc165028071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45</w:t>
        </w:r>
        <w:r w:rsidR="00415D20" w:rsidRPr="001648DD">
          <w:rPr>
            <w:i w:val="0"/>
            <w:iCs w:val="0"/>
            <w:noProof/>
            <w:webHidden/>
          </w:rPr>
          <w:fldChar w:fldCharType="end"/>
        </w:r>
      </w:hyperlink>
    </w:p>
    <w:p w14:paraId="704B3C00" w14:textId="61B16E22"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72" w:history="1">
        <w:r w:rsidR="00415D20" w:rsidRPr="000719E3">
          <w:rPr>
            <w:rStyle w:val="Hyperlink"/>
            <w:rFonts w:cs="Times New Roman"/>
            <w:noProof/>
          </w:rPr>
          <w:t>Stochasticity dominates host communities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_Toc165028072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47</w:t>
        </w:r>
        <w:r w:rsidR="00415D20" w:rsidRPr="001648DD">
          <w:rPr>
            <w:i w:val="0"/>
            <w:iCs w:val="0"/>
            <w:noProof/>
            <w:webHidden/>
          </w:rPr>
          <w:fldChar w:fldCharType="end"/>
        </w:r>
      </w:hyperlink>
    </w:p>
    <w:p w14:paraId="1149ADEF" w14:textId="6334E17E"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73" w:history="1">
        <w:r w:rsidR="00415D20" w:rsidRPr="000719E3">
          <w:rPr>
            <w:rStyle w:val="Hyperlink"/>
            <w:rFonts w:cs="Times New Roman"/>
            <w:noProof/>
          </w:rPr>
          <w:t>Shared relative abundance is strongly correlated</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_Toc165028073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50</w:t>
        </w:r>
        <w:r w:rsidR="00415D20" w:rsidRPr="001648DD">
          <w:rPr>
            <w:i w:val="0"/>
            <w:iCs w:val="0"/>
            <w:noProof/>
            <w:webHidden/>
          </w:rPr>
          <w:fldChar w:fldCharType="end"/>
        </w:r>
      </w:hyperlink>
    </w:p>
    <w:p w14:paraId="52A26CE2" w14:textId="79D827A7"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74" w:history="1">
        <w:r w:rsidR="00415D20" w:rsidRPr="000719E3">
          <w:rPr>
            <w:rStyle w:val="Hyperlink"/>
            <w:rFonts w:cs="Times New Roman"/>
            <w:noProof/>
          </w:rPr>
          <w:t>Affinity for hosts restricted to a small subset of bacteria</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_Toc165028074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52</w:t>
        </w:r>
        <w:r w:rsidR="00415D20" w:rsidRPr="001648DD">
          <w:rPr>
            <w:i w:val="0"/>
            <w:iCs w:val="0"/>
            <w:noProof/>
            <w:webHidden/>
          </w:rPr>
          <w:fldChar w:fldCharType="end"/>
        </w:r>
      </w:hyperlink>
    </w:p>
    <w:p w14:paraId="3C3809BF" w14:textId="72562CEF"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75" w:history="1">
        <w:r w:rsidR="00415D20" w:rsidRPr="000719E3">
          <w:rPr>
            <w:rStyle w:val="Hyperlink"/>
            <w:rFonts w:cs="Times New Roman"/>
            <w:noProof/>
          </w:rPr>
          <w:t>Discussion</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_Toc165028075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54</w:t>
        </w:r>
        <w:r w:rsidR="00415D20" w:rsidRPr="001648DD">
          <w:rPr>
            <w:b w:val="0"/>
            <w:bCs/>
            <w:noProof/>
            <w:webHidden/>
          </w:rPr>
          <w:fldChar w:fldCharType="end"/>
        </w:r>
      </w:hyperlink>
    </w:p>
    <w:p w14:paraId="4CDAB097" w14:textId="6F737FA3"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76" w:history="1">
        <w:r w:rsidR="00415D20" w:rsidRPr="000719E3">
          <w:rPr>
            <w:rStyle w:val="Hyperlink"/>
            <w:rFonts w:cs="Times New Roman"/>
            <w:noProof/>
          </w:rPr>
          <w:t xml:space="preserve">Chapter III: Temporal turnover and the core microbiome of </w:t>
        </w:r>
        <w:r w:rsidR="00415D20" w:rsidRPr="000719E3">
          <w:rPr>
            <w:rStyle w:val="Hyperlink"/>
            <w:rFonts w:cs="Times New Roman"/>
            <w:i/>
            <w:iCs/>
            <w:noProof/>
          </w:rPr>
          <w:t xml:space="preserve">eurycea </w:t>
        </w:r>
        <w:r w:rsidR="00415D20" w:rsidRPr="000719E3">
          <w:rPr>
            <w:rStyle w:val="Hyperlink"/>
            <w:rFonts w:cs="Times New Roman"/>
            <w:noProof/>
          </w:rPr>
          <w:t>cf</w:t>
        </w:r>
        <w:r w:rsidR="00415D20" w:rsidRPr="000719E3">
          <w:rPr>
            <w:rStyle w:val="Hyperlink"/>
            <w:rFonts w:cs="Times New Roman"/>
            <w:i/>
            <w:iCs/>
            <w:noProof/>
          </w:rPr>
          <w:t>. wilderae</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_Toc165028076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61</w:t>
        </w:r>
        <w:r w:rsidR="00415D20" w:rsidRPr="001648DD">
          <w:rPr>
            <w:b w:val="0"/>
            <w:bCs w:val="0"/>
            <w:noProof/>
            <w:webHidden/>
          </w:rPr>
          <w:fldChar w:fldCharType="end"/>
        </w:r>
      </w:hyperlink>
    </w:p>
    <w:p w14:paraId="7CB56047" w14:textId="0B893F50"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77" w:history="1">
        <w:r w:rsidR="00415D20" w:rsidRPr="000719E3">
          <w:rPr>
            <w:rStyle w:val="Hyperlink"/>
            <w:rFonts w:cs="Times New Roman"/>
            <w:noProof/>
          </w:rPr>
          <w:t>Abstract</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_Toc165028077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62</w:t>
        </w:r>
        <w:r w:rsidR="00415D20" w:rsidRPr="001648DD">
          <w:rPr>
            <w:b w:val="0"/>
            <w:bCs/>
            <w:noProof/>
            <w:webHidden/>
          </w:rPr>
          <w:fldChar w:fldCharType="end"/>
        </w:r>
      </w:hyperlink>
    </w:p>
    <w:p w14:paraId="553B7250" w14:textId="028CEF24"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78" w:history="1">
        <w:r w:rsidR="00415D20" w:rsidRPr="000719E3">
          <w:rPr>
            <w:rStyle w:val="Hyperlink"/>
            <w:rFonts w:cs="Times New Roman"/>
            <w:noProof/>
          </w:rPr>
          <w:t>Introduction</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_Toc165028078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62</w:t>
        </w:r>
        <w:r w:rsidR="00415D20" w:rsidRPr="001648DD">
          <w:rPr>
            <w:b w:val="0"/>
            <w:bCs/>
            <w:noProof/>
            <w:webHidden/>
          </w:rPr>
          <w:fldChar w:fldCharType="end"/>
        </w:r>
      </w:hyperlink>
    </w:p>
    <w:p w14:paraId="649D3DE7" w14:textId="00454269"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79" w:history="1">
        <w:r w:rsidR="00415D20" w:rsidRPr="000719E3">
          <w:rPr>
            <w:rStyle w:val="Hyperlink"/>
            <w:rFonts w:cs="Times New Roman"/>
            <w:noProof/>
          </w:rPr>
          <w:t>Methods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_Toc165028079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66</w:t>
        </w:r>
        <w:r w:rsidR="00415D20" w:rsidRPr="001648DD">
          <w:rPr>
            <w:b w:val="0"/>
            <w:bCs/>
            <w:noProof/>
            <w:webHidden/>
          </w:rPr>
          <w:fldChar w:fldCharType="end"/>
        </w:r>
      </w:hyperlink>
    </w:p>
    <w:p w14:paraId="7F5CB4C2" w14:textId="3FCC2FF1"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0" w:history="1">
        <w:r w:rsidR="00415D20" w:rsidRPr="000719E3">
          <w:rPr>
            <w:rStyle w:val="Hyperlink"/>
            <w:rFonts w:cs="Times New Roman"/>
            <w:noProof/>
          </w:rPr>
          <w:t>Sample collection</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_Toc165028080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66</w:t>
        </w:r>
        <w:r w:rsidR="00415D20" w:rsidRPr="001648DD">
          <w:rPr>
            <w:i w:val="0"/>
            <w:iCs w:val="0"/>
            <w:noProof/>
            <w:webHidden/>
          </w:rPr>
          <w:fldChar w:fldCharType="end"/>
        </w:r>
      </w:hyperlink>
    </w:p>
    <w:p w14:paraId="228F819F" w14:textId="24CA9013"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1" w:history="1">
        <w:r w:rsidR="00415D20" w:rsidRPr="000719E3">
          <w:rPr>
            <w:rStyle w:val="Hyperlink"/>
            <w:rFonts w:cs="Times New Roman"/>
            <w:noProof/>
          </w:rPr>
          <w:t>Sample processing</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_Toc165028081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67</w:t>
        </w:r>
        <w:r w:rsidR="00415D20" w:rsidRPr="001648DD">
          <w:rPr>
            <w:i w:val="0"/>
            <w:iCs w:val="0"/>
            <w:noProof/>
            <w:webHidden/>
          </w:rPr>
          <w:fldChar w:fldCharType="end"/>
        </w:r>
      </w:hyperlink>
    </w:p>
    <w:p w14:paraId="766C7013" w14:textId="2181DD45"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2" w:history="1">
        <w:r w:rsidR="00415D20" w:rsidRPr="000719E3">
          <w:rPr>
            <w:rStyle w:val="Hyperlink"/>
            <w:rFonts w:cs="Times New Roman"/>
            <w:noProof/>
          </w:rPr>
          <w:t>Bioinformatics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_Toc165028082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67</w:t>
        </w:r>
        <w:r w:rsidR="00415D20" w:rsidRPr="001648DD">
          <w:rPr>
            <w:i w:val="0"/>
            <w:iCs w:val="0"/>
            <w:noProof/>
            <w:webHidden/>
          </w:rPr>
          <w:fldChar w:fldCharType="end"/>
        </w:r>
      </w:hyperlink>
    </w:p>
    <w:p w14:paraId="39147566" w14:textId="726632C8"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3" w:history="1">
        <w:r w:rsidR="00415D20" w:rsidRPr="000719E3">
          <w:rPr>
            <w:rStyle w:val="Hyperlink"/>
            <w:rFonts w:cs="Times New Roman"/>
            <w:noProof/>
          </w:rPr>
          <w:t>Diversity within and between samples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_Toc165028083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69</w:t>
        </w:r>
        <w:r w:rsidR="00415D20" w:rsidRPr="001648DD">
          <w:rPr>
            <w:i w:val="0"/>
            <w:iCs w:val="0"/>
            <w:noProof/>
            <w:webHidden/>
          </w:rPr>
          <w:fldChar w:fldCharType="end"/>
        </w:r>
      </w:hyperlink>
    </w:p>
    <w:p w14:paraId="60E8A47E" w14:textId="6E2E5EC0"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4" w:history="1">
        <w:r w:rsidR="00415D20" w:rsidRPr="000719E3">
          <w:rPr>
            <w:rStyle w:val="Hyperlink"/>
            <w:rFonts w:cs="Times New Roman"/>
            <w:noProof/>
          </w:rPr>
          <w:t>Core microbiome</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_Toc165028084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70</w:t>
        </w:r>
        <w:r w:rsidR="00415D20" w:rsidRPr="001648DD">
          <w:rPr>
            <w:i w:val="0"/>
            <w:iCs w:val="0"/>
            <w:noProof/>
            <w:webHidden/>
          </w:rPr>
          <w:fldChar w:fldCharType="end"/>
        </w:r>
      </w:hyperlink>
    </w:p>
    <w:p w14:paraId="57FB58D4" w14:textId="0CEB1B7F"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85" w:history="1">
        <w:r w:rsidR="00415D20" w:rsidRPr="000719E3">
          <w:rPr>
            <w:rStyle w:val="Hyperlink"/>
            <w:rFonts w:cs="Times New Roman"/>
            <w:noProof/>
          </w:rPr>
          <w:t>Results</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_Toc165028085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71</w:t>
        </w:r>
        <w:r w:rsidR="00415D20" w:rsidRPr="001648DD">
          <w:rPr>
            <w:b w:val="0"/>
            <w:bCs/>
            <w:noProof/>
            <w:webHidden/>
          </w:rPr>
          <w:fldChar w:fldCharType="end"/>
        </w:r>
      </w:hyperlink>
    </w:p>
    <w:p w14:paraId="608B9BCC" w14:textId="08D7907E"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6" w:history="1">
        <w:r w:rsidR="00415D20" w:rsidRPr="000719E3">
          <w:rPr>
            <w:rStyle w:val="Hyperlink"/>
            <w:rFonts w:cs="Times New Roman"/>
            <w:noProof/>
          </w:rPr>
          <w:t>Alpha diversity is consistent on hosts seasonally</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_Toc165028086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71</w:t>
        </w:r>
        <w:r w:rsidR="00415D20" w:rsidRPr="001648DD">
          <w:rPr>
            <w:i w:val="0"/>
            <w:iCs w:val="0"/>
            <w:noProof/>
            <w:webHidden/>
          </w:rPr>
          <w:fldChar w:fldCharType="end"/>
        </w:r>
      </w:hyperlink>
    </w:p>
    <w:p w14:paraId="66E4D8B1" w14:textId="2F2058B0"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7" w:history="1">
        <w:r w:rsidR="00415D20" w:rsidRPr="000719E3">
          <w:rPr>
            <w:rStyle w:val="Hyperlink"/>
            <w:rFonts w:cs="Times New Roman"/>
            <w:noProof/>
          </w:rPr>
          <w:t>Evenness increases with host habitat shifts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_Toc165028087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73</w:t>
        </w:r>
        <w:r w:rsidR="00415D20" w:rsidRPr="001648DD">
          <w:rPr>
            <w:i w:val="0"/>
            <w:iCs w:val="0"/>
            <w:noProof/>
            <w:webHidden/>
          </w:rPr>
          <w:fldChar w:fldCharType="end"/>
        </w:r>
      </w:hyperlink>
    </w:p>
    <w:p w14:paraId="7459FA9B" w14:textId="50AE39F6"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8" w:history="1">
        <w:r w:rsidR="00415D20" w:rsidRPr="000719E3">
          <w:rPr>
            <w:rStyle w:val="Hyperlink"/>
            <w:rFonts w:cs="Times New Roman"/>
            <w:noProof/>
          </w:rPr>
          <w:t>Turnover exacerbated by host habitat shifts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_Toc165028088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73</w:t>
        </w:r>
        <w:r w:rsidR="00415D20" w:rsidRPr="001648DD">
          <w:rPr>
            <w:i w:val="0"/>
            <w:iCs w:val="0"/>
            <w:noProof/>
            <w:webHidden/>
          </w:rPr>
          <w:fldChar w:fldCharType="end"/>
        </w:r>
      </w:hyperlink>
    </w:p>
    <w:p w14:paraId="3AEFF343" w14:textId="5D6A5C35"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89" w:history="1">
        <w:r w:rsidR="00415D20" w:rsidRPr="000719E3">
          <w:rPr>
            <w:rStyle w:val="Hyperlink"/>
            <w:rFonts w:cs="Times New Roman"/>
            <w:noProof/>
          </w:rPr>
          <w:t>Common core reflects environmental reservoirs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_Toc165028089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78</w:t>
        </w:r>
        <w:r w:rsidR="00415D20" w:rsidRPr="001648DD">
          <w:rPr>
            <w:i w:val="0"/>
            <w:iCs w:val="0"/>
            <w:noProof/>
            <w:webHidden/>
          </w:rPr>
          <w:fldChar w:fldCharType="end"/>
        </w:r>
      </w:hyperlink>
    </w:p>
    <w:p w14:paraId="22541AD9" w14:textId="0E6454E6"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90" w:history="1">
        <w:r w:rsidR="00415D20" w:rsidRPr="000719E3">
          <w:rPr>
            <w:rStyle w:val="Hyperlink"/>
            <w:rFonts w:cs="Times New Roman"/>
            <w:noProof/>
          </w:rPr>
          <w:t>Temporal core captures wide-ranging microbes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_Toc165028090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82</w:t>
        </w:r>
        <w:r w:rsidR="00415D20" w:rsidRPr="001648DD">
          <w:rPr>
            <w:i w:val="0"/>
            <w:iCs w:val="0"/>
            <w:noProof/>
            <w:webHidden/>
          </w:rPr>
          <w:fldChar w:fldCharType="end"/>
        </w:r>
      </w:hyperlink>
    </w:p>
    <w:p w14:paraId="0F96B194" w14:textId="04AA8B1C"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91" w:history="1">
        <w:r w:rsidR="00415D20" w:rsidRPr="000719E3">
          <w:rPr>
            <w:rStyle w:val="Hyperlink"/>
            <w:rFonts w:cs="Times New Roman"/>
            <w:noProof/>
          </w:rPr>
          <w:t>Anti-Bd taxa more represented in terrestrial hosts and habitats</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_Toc165028091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82</w:t>
        </w:r>
        <w:r w:rsidR="00415D20" w:rsidRPr="001648DD">
          <w:rPr>
            <w:i w:val="0"/>
            <w:iCs w:val="0"/>
            <w:noProof/>
            <w:webHidden/>
          </w:rPr>
          <w:fldChar w:fldCharType="end"/>
        </w:r>
      </w:hyperlink>
    </w:p>
    <w:p w14:paraId="23273DD4" w14:textId="3B009824" w:rsidR="00415D20" w:rsidRDefault="00000000">
      <w:pPr>
        <w:pStyle w:val="TOC3"/>
        <w:tabs>
          <w:tab w:val="right" w:leader="dot" w:pos="9350"/>
        </w:tabs>
        <w:rPr>
          <w:rFonts w:asciiTheme="minorHAnsi" w:eastAsiaTheme="minorEastAsia" w:hAnsiTheme="minorHAnsi" w:cstheme="minorBidi"/>
          <w:i w:val="0"/>
          <w:iCs w:val="0"/>
          <w:noProof/>
          <w:kern w:val="2"/>
          <w:szCs w:val="24"/>
          <w14:ligatures w14:val="standardContextual"/>
        </w:rPr>
      </w:pPr>
      <w:hyperlink w:anchor="_Toc165028092" w:history="1">
        <w:r w:rsidR="00415D20" w:rsidRPr="000719E3">
          <w:rPr>
            <w:rStyle w:val="Hyperlink"/>
            <w:rFonts w:cs="Times New Roman"/>
            <w:noProof/>
          </w:rPr>
          <w:t>Non-random associations uncovered by a host-associated core</w:t>
        </w:r>
        <w:r w:rsidR="00415D20" w:rsidRPr="001648DD">
          <w:rPr>
            <w:i w:val="0"/>
            <w:iCs w:val="0"/>
            <w:noProof/>
            <w:webHidden/>
          </w:rPr>
          <w:tab/>
        </w:r>
        <w:r w:rsidR="00415D20" w:rsidRPr="001648DD">
          <w:rPr>
            <w:i w:val="0"/>
            <w:iCs w:val="0"/>
            <w:noProof/>
            <w:webHidden/>
          </w:rPr>
          <w:fldChar w:fldCharType="begin"/>
        </w:r>
        <w:r w:rsidR="00415D20" w:rsidRPr="001648DD">
          <w:rPr>
            <w:i w:val="0"/>
            <w:iCs w:val="0"/>
            <w:noProof/>
            <w:webHidden/>
          </w:rPr>
          <w:instrText xml:space="preserve"> PAGEREF _Toc165028092 \h </w:instrText>
        </w:r>
        <w:r w:rsidR="00415D20" w:rsidRPr="001648DD">
          <w:rPr>
            <w:i w:val="0"/>
            <w:iCs w:val="0"/>
            <w:noProof/>
            <w:webHidden/>
          </w:rPr>
        </w:r>
        <w:r w:rsidR="00415D20" w:rsidRPr="001648DD">
          <w:rPr>
            <w:i w:val="0"/>
            <w:iCs w:val="0"/>
            <w:noProof/>
            <w:webHidden/>
          </w:rPr>
          <w:fldChar w:fldCharType="separate"/>
        </w:r>
        <w:r w:rsidR="001648DD" w:rsidRPr="001648DD">
          <w:rPr>
            <w:i w:val="0"/>
            <w:iCs w:val="0"/>
            <w:noProof/>
            <w:webHidden/>
          </w:rPr>
          <w:t>84</w:t>
        </w:r>
        <w:r w:rsidR="00415D20" w:rsidRPr="001648DD">
          <w:rPr>
            <w:i w:val="0"/>
            <w:iCs w:val="0"/>
            <w:noProof/>
            <w:webHidden/>
          </w:rPr>
          <w:fldChar w:fldCharType="end"/>
        </w:r>
      </w:hyperlink>
    </w:p>
    <w:p w14:paraId="337BB74C" w14:textId="4ECB688A" w:rsidR="00415D20" w:rsidRDefault="00000000">
      <w:pPr>
        <w:pStyle w:val="TOC2"/>
        <w:tabs>
          <w:tab w:val="right" w:leader="dot" w:pos="9350"/>
        </w:tabs>
        <w:rPr>
          <w:rFonts w:asciiTheme="minorHAnsi" w:eastAsiaTheme="minorEastAsia" w:hAnsiTheme="minorHAnsi" w:cstheme="minorBidi"/>
          <w:b w:val="0"/>
          <w:noProof/>
          <w:kern w:val="2"/>
          <w:szCs w:val="24"/>
          <w14:ligatures w14:val="standardContextual"/>
        </w:rPr>
      </w:pPr>
      <w:hyperlink w:anchor="_Toc165028093" w:history="1">
        <w:r w:rsidR="00415D20" w:rsidRPr="000719E3">
          <w:rPr>
            <w:rStyle w:val="Hyperlink"/>
            <w:rFonts w:cs="Times New Roman"/>
            <w:noProof/>
          </w:rPr>
          <w:t>Discussion</w:t>
        </w:r>
        <w:r w:rsidR="00415D20" w:rsidRPr="001648DD">
          <w:rPr>
            <w:b w:val="0"/>
            <w:bCs/>
            <w:noProof/>
            <w:webHidden/>
          </w:rPr>
          <w:tab/>
        </w:r>
        <w:r w:rsidR="00415D20" w:rsidRPr="001648DD">
          <w:rPr>
            <w:b w:val="0"/>
            <w:bCs/>
            <w:noProof/>
            <w:webHidden/>
          </w:rPr>
          <w:fldChar w:fldCharType="begin"/>
        </w:r>
        <w:r w:rsidR="00415D20" w:rsidRPr="001648DD">
          <w:rPr>
            <w:b w:val="0"/>
            <w:bCs/>
            <w:noProof/>
            <w:webHidden/>
          </w:rPr>
          <w:instrText xml:space="preserve"> PAGEREF _Toc165028093 \h </w:instrText>
        </w:r>
        <w:r w:rsidR="00415D20" w:rsidRPr="001648DD">
          <w:rPr>
            <w:b w:val="0"/>
            <w:bCs/>
            <w:noProof/>
            <w:webHidden/>
          </w:rPr>
        </w:r>
        <w:r w:rsidR="00415D20" w:rsidRPr="001648DD">
          <w:rPr>
            <w:b w:val="0"/>
            <w:bCs/>
            <w:noProof/>
            <w:webHidden/>
          </w:rPr>
          <w:fldChar w:fldCharType="separate"/>
        </w:r>
        <w:r w:rsidR="001648DD" w:rsidRPr="001648DD">
          <w:rPr>
            <w:b w:val="0"/>
            <w:bCs/>
            <w:noProof/>
            <w:webHidden/>
          </w:rPr>
          <w:t>87</w:t>
        </w:r>
        <w:r w:rsidR="00415D20" w:rsidRPr="001648DD">
          <w:rPr>
            <w:b w:val="0"/>
            <w:bCs/>
            <w:noProof/>
            <w:webHidden/>
          </w:rPr>
          <w:fldChar w:fldCharType="end"/>
        </w:r>
      </w:hyperlink>
    </w:p>
    <w:p w14:paraId="2C33AAD0" w14:textId="10D001AD"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94" w:history="1">
        <w:r w:rsidR="00415D20" w:rsidRPr="000719E3">
          <w:rPr>
            <w:rStyle w:val="Hyperlink"/>
            <w:rFonts w:cs="Times New Roman"/>
            <w:noProof/>
          </w:rPr>
          <w:t>Conclusion</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_Toc165028094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94</w:t>
        </w:r>
        <w:r w:rsidR="00415D20" w:rsidRPr="001648DD">
          <w:rPr>
            <w:b w:val="0"/>
            <w:bCs w:val="0"/>
            <w:noProof/>
            <w:webHidden/>
          </w:rPr>
          <w:fldChar w:fldCharType="end"/>
        </w:r>
      </w:hyperlink>
    </w:p>
    <w:p w14:paraId="552CBCFC" w14:textId="394ACFAB"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95" w:history="1">
        <w:r w:rsidR="00415D20" w:rsidRPr="000719E3">
          <w:rPr>
            <w:rStyle w:val="Hyperlink"/>
            <w:rFonts w:cs="Times New Roman"/>
            <w:noProof/>
          </w:rPr>
          <w:t>References</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_Toc165028095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96</w:t>
        </w:r>
        <w:r w:rsidR="00415D20" w:rsidRPr="001648DD">
          <w:rPr>
            <w:b w:val="0"/>
            <w:bCs w:val="0"/>
            <w:noProof/>
            <w:webHidden/>
          </w:rPr>
          <w:fldChar w:fldCharType="end"/>
        </w:r>
      </w:hyperlink>
    </w:p>
    <w:p w14:paraId="305AFE11" w14:textId="5269D0CD"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96" w:history="1">
        <w:r w:rsidR="00415D20" w:rsidRPr="000719E3">
          <w:rPr>
            <w:rStyle w:val="Hyperlink"/>
            <w:rFonts w:cs="Times New Roman"/>
            <w:noProof/>
          </w:rPr>
          <w:t>Appendix</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_Toc165028096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118</w:t>
        </w:r>
        <w:r w:rsidR="00415D20" w:rsidRPr="001648DD">
          <w:rPr>
            <w:b w:val="0"/>
            <w:bCs w:val="0"/>
            <w:noProof/>
            <w:webHidden/>
          </w:rPr>
          <w:fldChar w:fldCharType="end"/>
        </w:r>
      </w:hyperlink>
    </w:p>
    <w:p w14:paraId="2DD1A8F2" w14:textId="77485132" w:rsidR="00415D20" w:rsidRDefault="00000000">
      <w:pPr>
        <w:pStyle w:val="TOC1"/>
        <w:tabs>
          <w:tab w:val="right" w:leader="dot" w:pos="9350"/>
        </w:tabs>
        <w:rPr>
          <w:rFonts w:asciiTheme="minorHAnsi" w:eastAsiaTheme="minorEastAsia" w:hAnsiTheme="minorHAnsi" w:cstheme="minorBidi"/>
          <w:b w:val="0"/>
          <w:bCs w:val="0"/>
          <w:caps w:val="0"/>
          <w:noProof/>
          <w:kern w:val="2"/>
          <w:szCs w:val="24"/>
          <w14:ligatures w14:val="standardContextual"/>
        </w:rPr>
      </w:pPr>
      <w:hyperlink w:anchor="_Toc165028097" w:history="1">
        <w:r w:rsidR="00415D20" w:rsidRPr="000719E3">
          <w:rPr>
            <w:rStyle w:val="Hyperlink"/>
            <w:rFonts w:cs="Times New Roman"/>
            <w:noProof/>
          </w:rPr>
          <w:t>VITA</w:t>
        </w:r>
        <w:r w:rsidR="00415D20" w:rsidRPr="001648DD">
          <w:rPr>
            <w:b w:val="0"/>
            <w:bCs w:val="0"/>
            <w:noProof/>
            <w:webHidden/>
          </w:rPr>
          <w:tab/>
        </w:r>
        <w:r w:rsidR="00415D20" w:rsidRPr="001648DD">
          <w:rPr>
            <w:b w:val="0"/>
            <w:bCs w:val="0"/>
            <w:noProof/>
            <w:webHidden/>
          </w:rPr>
          <w:fldChar w:fldCharType="begin"/>
        </w:r>
        <w:r w:rsidR="00415D20" w:rsidRPr="001648DD">
          <w:rPr>
            <w:b w:val="0"/>
            <w:bCs w:val="0"/>
            <w:noProof/>
            <w:webHidden/>
          </w:rPr>
          <w:instrText xml:space="preserve"> PAGEREF _Toc165028097 \h </w:instrText>
        </w:r>
        <w:r w:rsidR="00415D20" w:rsidRPr="001648DD">
          <w:rPr>
            <w:b w:val="0"/>
            <w:bCs w:val="0"/>
            <w:noProof/>
            <w:webHidden/>
          </w:rPr>
        </w:r>
        <w:r w:rsidR="00415D20" w:rsidRPr="001648DD">
          <w:rPr>
            <w:b w:val="0"/>
            <w:bCs w:val="0"/>
            <w:noProof/>
            <w:webHidden/>
          </w:rPr>
          <w:fldChar w:fldCharType="separate"/>
        </w:r>
        <w:r w:rsidR="001648DD" w:rsidRPr="001648DD">
          <w:rPr>
            <w:b w:val="0"/>
            <w:bCs w:val="0"/>
            <w:noProof/>
            <w:webHidden/>
          </w:rPr>
          <w:t>141</w:t>
        </w:r>
        <w:r w:rsidR="00415D20" w:rsidRPr="001648DD">
          <w:rPr>
            <w:b w:val="0"/>
            <w:bCs w:val="0"/>
            <w:noProof/>
            <w:webHidden/>
          </w:rPr>
          <w:fldChar w:fldCharType="end"/>
        </w:r>
      </w:hyperlink>
    </w:p>
    <w:p w14:paraId="5D5DD015" w14:textId="5F4B0C6D" w:rsidR="00387656" w:rsidRPr="004B6806" w:rsidRDefault="00FF7E60" w:rsidP="00B72141">
      <w:pPr>
        <w:rPr>
          <w:rFonts w:ascii="Times New Roman" w:hAnsi="Times New Roman" w:cs="Times New Roman"/>
        </w:rPr>
      </w:pPr>
      <w:r>
        <w:rPr>
          <w:rFonts w:ascii="Times New Roman" w:hAnsi="Times New Roman" w:cs="Times New Roman"/>
          <w:b/>
          <w:bCs/>
          <w:szCs w:val="20"/>
        </w:rPr>
        <w:fldChar w:fldCharType="end"/>
      </w:r>
    </w:p>
    <w:p w14:paraId="3C860C88" w14:textId="77777777" w:rsidR="00940CBB" w:rsidRDefault="00940CBB" w:rsidP="00387656">
      <w:pPr>
        <w:pStyle w:val="Title"/>
        <w:rPr>
          <w:rFonts w:ascii="Times New Roman" w:hAnsi="Times New Roman" w:cs="Times New Roman"/>
          <w:sz w:val="24"/>
        </w:rPr>
      </w:pPr>
    </w:p>
    <w:p w14:paraId="7304AD36" w14:textId="50D779D6" w:rsidR="00387656" w:rsidRPr="0022095B" w:rsidRDefault="009C755C" w:rsidP="0022095B">
      <w:pPr>
        <w:rPr>
          <w:rFonts w:ascii="Times New Roman" w:hAnsi="Times New Roman" w:cs="Times New Roman"/>
          <w:b/>
          <w:lang w:val="en-CA"/>
        </w:rPr>
      </w:pPr>
      <w:r w:rsidRPr="004B6806">
        <w:rPr>
          <w:rFonts w:ascii="Times New Roman" w:hAnsi="Times New Roman" w:cs="Times New Roman"/>
        </w:rPr>
        <w:br w:type="page"/>
      </w:r>
    </w:p>
    <w:p w14:paraId="1575ECED" w14:textId="77777777" w:rsidR="00387656" w:rsidRPr="004B6806" w:rsidRDefault="00387656" w:rsidP="00387656">
      <w:pPr>
        <w:pStyle w:val="Title"/>
        <w:rPr>
          <w:rFonts w:ascii="Times New Roman" w:hAnsi="Times New Roman" w:cs="Times New Roman"/>
          <w:szCs w:val="28"/>
        </w:rPr>
      </w:pPr>
      <w:r w:rsidRPr="004B6806">
        <w:rPr>
          <w:rFonts w:ascii="Times New Roman" w:hAnsi="Times New Roman" w:cs="Times New Roman"/>
          <w:szCs w:val="28"/>
        </w:rPr>
        <w:lastRenderedPageBreak/>
        <w:t>LIST OF TABLES</w:t>
      </w:r>
    </w:p>
    <w:p w14:paraId="680F00C2" w14:textId="77777777" w:rsidR="00387656" w:rsidRPr="004B6806" w:rsidRDefault="00387656" w:rsidP="00387656">
      <w:pPr>
        <w:pStyle w:val="Title"/>
        <w:rPr>
          <w:rFonts w:ascii="Times New Roman" w:hAnsi="Times New Roman" w:cs="Times New Roman"/>
          <w:sz w:val="24"/>
        </w:rPr>
      </w:pPr>
    </w:p>
    <w:p w14:paraId="54EA80BE" w14:textId="73996C23" w:rsidR="00122B3E" w:rsidRDefault="00387656" w:rsidP="00DE1EFE">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r w:rsidRPr="00D06E3A">
        <w:rPr>
          <w:rFonts w:cs="Times New Roman"/>
          <w:smallCaps/>
          <w:szCs w:val="24"/>
        </w:rPr>
        <w:fldChar w:fldCharType="begin"/>
      </w:r>
      <w:r w:rsidRPr="00D06E3A">
        <w:rPr>
          <w:rFonts w:cs="Times New Roman"/>
          <w:szCs w:val="24"/>
        </w:rPr>
        <w:instrText xml:space="preserve"> TOC \h \z \c "Table" </w:instrText>
      </w:r>
      <w:r w:rsidRPr="00D06E3A">
        <w:rPr>
          <w:rFonts w:cs="Times New Roman"/>
          <w:smallCaps/>
          <w:szCs w:val="24"/>
        </w:rPr>
        <w:fldChar w:fldCharType="separate"/>
      </w:r>
      <w:hyperlink w:anchor="_Toc165028991" w:history="1">
        <w:r w:rsidR="00122B3E" w:rsidRPr="00663BAA">
          <w:rPr>
            <w:rStyle w:val="Hyperlink"/>
            <w:rFonts w:cs="Times New Roman"/>
            <w:noProof/>
          </w:rPr>
          <w:t>Table 1: Results from dbRDA and anova.cca. Columns correspond to the tested hypothesis and rows indicate the dissimilarity metric.</w:t>
        </w:r>
        <w:r w:rsidR="00122B3E">
          <w:rPr>
            <w:noProof/>
            <w:webHidden/>
          </w:rPr>
          <w:tab/>
        </w:r>
        <w:r w:rsidR="00122B3E">
          <w:rPr>
            <w:noProof/>
            <w:webHidden/>
          </w:rPr>
          <w:fldChar w:fldCharType="begin"/>
        </w:r>
        <w:r w:rsidR="00122B3E">
          <w:rPr>
            <w:noProof/>
            <w:webHidden/>
          </w:rPr>
          <w:instrText xml:space="preserve"> PAGEREF _Toc165028991 \h </w:instrText>
        </w:r>
        <w:r w:rsidR="00122B3E">
          <w:rPr>
            <w:noProof/>
            <w:webHidden/>
          </w:rPr>
        </w:r>
        <w:r w:rsidR="00122B3E">
          <w:rPr>
            <w:noProof/>
            <w:webHidden/>
          </w:rPr>
          <w:fldChar w:fldCharType="separate"/>
        </w:r>
        <w:r w:rsidR="001648DD">
          <w:rPr>
            <w:noProof/>
            <w:webHidden/>
          </w:rPr>
          <w:t>24</w:t>
        </w:r>
        <w:r w:rsidR="00122B3E">
          <w:rPr>
            <w:noProof/>
            <w:webHidden/>
          </w:rPr>
          <w:fldChar w:fldCharType="end"/>
        </w:r>
      </w:hyperlink>
    </w:p>
    <w:p w14:paraId="4359D243" w14:textId="42D473EE" w:rsidR="00122B3E" w:rsidRDefault="00000000" w:rsidP="00DE1EFE">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8992" w:history="1">
        <w:r w:rsidR="00122B3E" w:rsidRPr="00663BAA">
          <w:rPr>
            <w:rStyle w:val="Hyperlink"/>
            <w:rFonts w:cs="Times New Roman"/>
            <w:noProof/>
          </w:rPr>
          <w:t>Table 2: Taxonomic information of indicator species and the strength of association</w:t>
        </w:r>
        <w:r w:rsidR="00122B3E">
          <w:rPr>
            <w:noProof/>
            <w:webHidden/>
          </w:rPr>
          <w:tab/>
        </w:r>
        <w:r w:rsidR="00122B3E">
          <w:rPr>
            <w:noProof/>
            <w:webHidden/>
          </w:rPr>
          <w:fldChar w:fldCharType="begin"/>
        </w:r>
        <w:r w:rsidR="00122B3E">
          <w:rPr>
            <w:noProof/>
            <w:webHidden/>
          </w:rPr>
          <w:instrText xml:space="preserve"> PAGEREF _Toc165028992 \h </w:instrText>
        </w:r>
        <w:r w:rsidR="00122B3E">
          <w:rPr>
            <w:noProof/>
            <w:webHidden/>
          </w:rPr>
        </w:r>
        <w:r w:rsidR="00122B3E">
          <w:rPr>
            <w:noProof/>
            <w:webHidden/>
          </w:rPr>
          <w:fldChar w:fldCharType="separate"/>
        </w:r>
        <w:r w:rsidR="001648DD">
          <w:rPr>
            <w:noProof/>
            <w:webHidden/>
          </w:rPr>
          <w:t>29</w:t>
        </w:r>
        <w:r w:rsidR="00122B3E">
          <w:rPr>
            <w:noProof/>
            <w:webHidden/>
          </w:rPr>
          <w:fldChar w:fldCharType="end"/>
        </w:r>
      </w:hyperlink>
    </w:p>
    <w:p w14:paraId="67E43AFD" w14:textId="4E7B7557" w:rsidR="00122B3E" w:rsidRDefault="00000000" w:rsidP="00DE1EFE">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8993" w:history="1">
        <w:r w:rsidR="00122B3E" w:rsidRPr="00663BAA">
          <w:rPr>
            <w:rStyle w:val="Hyperlink"/>
            <w:rFonts w:cs="Times New Roman"/>
            <w:noProof/>
          </w:rPr>
          <w:t>Table 3: Species, habitat, and sample numbers used in Chapter 2.</w:t>
        </w:r>
        <w:r w:rsidR="00122B3E">
          <w:rPr>
            <w:noProof/>
            <w:webHidden/>
          </w:rPr>
          <w:tab/>
        </w:r>
        <w:r w:rsidR="00122B3E">
          <w:rPr>
            <w:noProof/>
            <w:webHidden/>
          </w:rPr>
          <w:fldChar w:fldCharType="begin"/>
        </w:r>
        <w:r w:rsidR="00122B3E">
          <w:rPr>
            <w:noProof/>
            <w:webHidden/>
          </w:rPr>
          <w:instrText xml:space="preserve"> PAGEREF _Toc165028993 \h </w:instrText>
        </w:r>
        <w:r w:rsidR="00122B3E">
          <w:rPr>
            <w:noProof/>
            <w:webHidden/>
          </w:rPr>
        </w:r>
        <w:r w:rsidR="00122B3E">
          <w:rPr>
            <w:noProof/>
            <w:webHidden/>
          </w:rPr>
          <w:fldChar w:fldCharType="separate"/>
        </w:r>
        <w:r w:rsidR="001648DD">
          <w:rPr>
            <w:noProof/>
            <w:webHidden/>
          </w:rPr>
          <w:t>41</w:t>
        </w:r>
        <w:r w:rsidR="00122B3E">
          <w:rPr>
            <w:noProof/>
            <w:webHidden/>
          </w:rPr>
          <w:fldChar w:fldCharType="end"/>
        </w:r>
      </w:hyperlink>
    </w:p>
    <w:p w14:paraId="39B7F645" w14:textId="5DE59449" w:rsidR="00122B3E" w:rsidRDefault="00000000" w:rsidP="00DE1EFE">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8994" w:history="1">
        <w:r w:rsidR="00122B3E" w:rsidRPr="00663BAA">
          <w:rPr>
            <w:rStyle w:val="Hyperlink"/>
            <w:rFonts w:cs="Times New Roman"/>
            <w:noProof/>
          </w:rPr>
          <w:t>Table 4: Hill Number taxonomic and phylogenetic alpha diversity estimates for aquatic/terrestrial salamanders and cover objects. Superscripts denote statistical significance (</w:t>
        </w:r>
        <w:r w:rsidR="00122B3E" w:rsidRPr="00663BAA">
          <w:rPr>
            <w:rStyle w:val="Hyperlink"/>
            <w:rFonts w:cs="Times New Roman"/>
            <w:i/>
            <w:iCs/>
            <w:noProof/>
          </w:rPr>
          <w:t>p</w:t>
        </w:r>
        <w:r w:rsidR="00122B3E" w:rsidRPr="00663BAA">
          <w:rPr>
            <w:rStyle w:val="Hyperlink"/>
            <w:rFonts w:cs="Times New Roman"/>
            <w:noProof/>
          </w:rPr>
          <w:t>&lt;0.05).</w:t>
        </w:r>
        <w:r w:rsidR="00122B3E">
          <w:rPr>
            <w:noProof/>
            <w:webHidden/>
          </w:rPr>
          <w:tab/>
        </w:r>
        <w:r w:rsidR="00122B3E">
          <w:rPr>
            <w:noProof/>
            <w:webHidden/>
          </w:rPr>
          <w:fldChar w:fldCharType="begin"/>
        </w:r>
        <w:r w:rsidR="00122B3E">
          <w:rPr>
            <w:noProof/>
            <w:webHidden/>
          </w:rPr>
          <w:instrText xml:space="preserve"> PAGEREF _Toc165028994 \h </w:instrText>
        </w:r>
        <w:r w:rsidR="00122B3E">
          <w:rPr>
            <w:noProof/>
            <w:webHidden/>
          </w:rPr>
        </w:r>
        <w:r w:rsidR="00122B3E">
          <w:rPr>
            <w:noProof/>
            <w:webHidden/>
          </w:rPr>
          <w:fldChar w:fldCharType="separate"/>
        </w:r>
        <w:r w:rsidR="001648DD">
          <w:rPr>
            <w:noProof/>
            <w:webHidden/>
          </w:rPr>
          <w:t>46</w:t>
        </w:r>
        <w:r w:rsidR="00122B3E">
          <w:rPr>
            <w:noProof/>
            <w:webHidden/>
          </w:rPr>
          <w:fldChar w:fldCharType="end"/>
        </w:r>
      </w:hyperlink>
    </w:p>
    <w:p w14:paraId="616F804B" w14:textId="22A13EA9" w:rsidR="00122B3E" w:rsidRDefault="00000000" w:rsidP="00DE1EFE">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8995" w:history="1">
        <w:r w:rsidR="00122B3E" w:rsidRPr="00663BAA">
          <w:rPr>
            <w:rStyle w:val="Hyperlink"/>
            <w:rFonts w:cs="Times New Roman"/>
            <w:noProof/>
          </w:rPr>
          <w:t>Table 5: Salamanders sampled in each season and their habitat(s)</w:t>
        </w:r>
        <w:r w:rsidR="00122B3E">
          <w:rPr>
            <w:noProof/>
            <w:webHidden/>
          </w:rPr>
          <w:tab/>
        </w:r>
        <w:r w:rsidR="00122B3E">
          <w:rPr>
            <w:noProof/>
            <w:webHidden/>
          </w:rPr>
          <w:fldChar w:fldCharType="begin"/>
        </w:r>
        <w:r w:rsidR="00122B3E">
          <w:rPr>
            <w:noProof/>
            <w:webHidden/>
          </w:rPr>
          <w:instrText xml:space="preserve"> PAGEREF _Toc165028995 \h </w:instrText>
        </w:r>
        <w:r w:rsidR="00122B3E">
          <w:rPr>
            <w:noProof/>
            <w:webHidden/>
          </w:rPr>
        </w:r>
        <w:r w:rsidR="00122B3E">
          <w:rPr>
            <w:noProof/>
            <w:webHidden/>
          </w:rPr>
          <w:fldChar w:fldCharType="separate"/>
        </w:r>
        <w:r w:rsidR="001648DD">
          <w:rPr>
            <w:noProof/>
            <w:webHidden/>
          </w:rPr>
          <w:t>68</w:t>
        </w:r>
        <w:r w:rsidR="00122B3E">
          <w:rPr>
            <w:noProof/>
            <w:webHidden/>
          </w:rPr>
          <w:fldChar w:fldCharType="end"/>
        </w:r>
      </w:hyperlink>
    </w:p>
    <w:p w14:paraId="0D99A52D" w14:textId="1ACC127A" w:rsidR="00122B3E" w:rsidRDefault="00000000" w:rsidP="00DE1EFE">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8996" w:history="1">
        <w:r w:rsidR="00122B3E" w:rsidRPr="00663BAA">
          <w:rPr>
            <w:rStyle w:val="Hyperlink"/>
            <w:rFonts w:cs="Times New Roman"/>
            <w:noProof/>
          </w:rPr>
          <w:t>Table 6: Taxonomic and Phylogenetic diversity estimates by habitat. Superscripts denote statistical significance of paired comparisons.</w:t>
        </w:r>
        <w:r w:rsidR="00122B3E">
          <w:rPr>
            <w:noProof/>
            <w:webHidden/>
          </w:rPr>
          <w:tab/>
        </w:r>
        <w:r w:rsidR="00122B3E">
          <w:rPr>
            <w:noProof/>
            <w:webHidden/>
          </w:rPr>
          <w:fldChar w:fldCharType="begin"/>
        </w:r>
        <w:r w:rsidR="00122B3E">
          <w:rPr>
            <w:noProof/>
            <w:webHidden/>
          </w:rPr>
          <w:instrText xml:space="preserve"> PAGEREF _Toc165028996 \h </w:instrText>
        </w:r>
        <w:r w:rsidR="00122B3E">
          <w:rPr>
            <w:noProof/>
            <w:webHidden/>
          </w:rPr>
        </w:r>
        <w:r w:rsidR="00122B3E">
          <w:rPr>
            <w:noProof/>
            <w:webHidden/>
          </w:rPr>
          <w:fldChar w:fldCharType="separate"/>
        </w:r>
        <w:r w:rsidR="001648DD">
          <w:rPr>
            <w:noProof/>
            <w:webHidden/>
          </w:rPr>
          <w:t>72</w:t>
        </w:r>
        <w:r w:rsidR="00122B3E">
          <w:rPr>
            <w:noProof/>
            <w:webHidden/>
          </w:rPr>
          <w:fldChar w:fldCharType="end"/>
        </w:r>
      </w:hyperlink>
    </w:p>
    <w:p w14:paraId="47F815B8" w14:textId="34FB3DB0" w:rsidR="00285C59" w:rsidRDefault="00000000" w:rsidP="00DE1EFE">
      <w:pPr>
        <w:pStyle w:val="TableofFigures"/>
        <w:tabs>
          <w:tab w:val="right" w:leader="dot" w:pos="9350"/>
        </w:tabs>
        <w:spacing w:line="360" w:lineRule="auto"/>
        <w:ind w:left="475" w:hanging="475"/>
        <w:rPr>
          <w:rStyle w:val="Hyperlink"/>
          <w:noProof/>
        </w:rPr>
      </w:pPr>
      <w:hyperlink w:anchor="_Toc165028997" w:history="1">
        <w:r w:rsidR="00122B3E" w:rsidRPr="00663BAA">
          <w:rPr>
            <w:rStyle w:val="Hyperlink"/>
            <w:rFonts w:cs="Times New Roman"/>
            <w:noProof/>
          </w:rPr>
          <w:t>Table 7: Seasonal taxonomic and phylogenetic diversity for salamander-associated assemblages. Superscripts denote statistical significance of paired comparisons.</w:t>
        </w:r>
        <w:r w:rsidR="00122B3E">
          <w:rPr>
            <w:noProof/>
            <w:webHidden/>
          </w:rPr>
          <w:tab/>
        </w:r>
        <w:r w:rsidR="00122B3E">
          <w:rPr>
            <w:noProof/>
            <w:webHidden/>
          </w:rPr>
          <w:fldChar w:fldCharType="begin"/>
        </w:r>
        <w:r w:rsidR="00122B3E">
          <w:rPr>
            <w:noProof/>
            <w:webHidden/>
          </w:rPr>
          <w:instrText xml:space="preserve"> PAGEREF _Toc165028997 \h </w:instrText>
        </w:r>
        <w:r w:rsidR="00122B3E">
          <w:rPr>
            <w:noProof/>
            <w:webHidden/>
          </w:rPr>
        </w:r>
        <w:r w:rsidR="00122B3E">
          <w:rPr>
            <w:noProof/>
            <w:webHidden/>
          </w:rPr>
          <w:fldChar w:fldCharType="separate"/>
        </w:r>
        <w:r w:rsidR="001648DD">
          <w:rPr>
            <w:noProof/>
            <w:webHidden/>
          </w:rPr>
          <w:t>74</w:t>
        </w:r>
        <w:r w:rsidR="00122B3E">
          <w:rPr>
            <w:noProof/>
            <w:webHidden/>
          </w:rPr>
          <w:fldChar w:fldCharType="end"/>
        </w:r>
      </w:hyperlink>
    </w:p>
    <w:p w14:paraId="3344FE5A" w14:textId="6479AEF6" w:rsidR="00DE1EFE" w:rsidRDefault="00000000" w:rsidP="00DE1EFE">
      <w:pPr>
        <w:pStyle w:val="TableofFigures"/>
        <w:tabs>
          <w:tab w:val="right" w:leader="dot" w:pos="9350"/>
        </w:tabs>
        <w:spacing w:line="360" w:lineRule="auto"/>
        <w:rPr>
          <w:rFonts w:asciiTheme="minorHAnsi" w:eastAsiaTheme="minorEastAsia" w:hAnsiTheme="minorHAnsi" w:cstheme="minorBidi"/>
          <w:noProof/>
          <w:kern w:val="2"/>
          <w:szCs w:val="24"/>
          <w14:ligatures w14:val="standardContextual"/>
        </w:rPr>
      </w:pPr>
      <w:hyperlink w:anchor="_Toc165029356" w:history="1">
        <w:r w:rsidR="00DE1EFE" w:rsidRPr="00C65B39">
          <w:rPr>
            <w:rStyle w:val="Hyperlink"/>
            <w:rFonts w:cs="Times New Roman"/>
            <w:noProof/>
          </w:rPr>
          <w:t>Table A1: Multi-level pattern analysis identifying indicator species for groups.</w:t>
        </w:r>
        <w:r w:rsidR="00DE1EFE">
          <w:rPr>
            <w:noProof/>
            <w:webHidden/>
          </w:rPr>
          <w:tab/>
        </w:r>
        <w:r w:rsidR="00DE1EFE">
          <w:rPr>
            <w:noProof/>
            <w:webHidden/>
          </w:rPr>
          <w:fldChar w:fldCharType="begin"/>
        </w:r>
        <w:r w:rsidR="00DE1EFE">
          <w:rPr>
            <w:noProof/>
            <w:webHidden/>
          </w:rPr>
          <w:instrText xml:space="preserve"> PAGEREF _Toc165029356 \h </w:instrText>
        </w:r>
        <w:r w:rsidR="00DE1EFE">
          <w:rPr>
            <w:noProof/>
            <w:webHidden/>
          </w:rPr>
        </w:r>
        <w:r w:rsidR="00DE1EFE">
          <w:rPr>
            <w:noProof/>
            <w:webHidden/>
          </w:rPr>
          <w:fldChar w:fldCharType="separate"/>
        </w:r>
        <w:r w:rsidR="001648DD">
          <w:rPr>
            <w:noProof/>
            <w:webHidden/>
          </w:rPr>
          <w:t>118</w:t>
        </w:r>
        <w:r w:rsidR="00DE1EFE">
          <w:rPr>
            <w:noProof/>
            <w:webHidden/>
          </w:rPr>
          <w:fldChar w:fldCharType="end"/>
        </w:r>
      </w:hyperlink>
    </w:p>
    <w:p w14:paraId="78DE9F01" w14:textId="6B55F901" w:rsidR="00DE1EFE" w:rsidRDefault="00000000" w:rsidP="00DE1EFE">
      <w:pPr>
        <w:pStyle w:val="TableofFigures"/>
        <w:tabs>
          <w:tab w:val="right" w:leader="dot" w:pos="9350"/>
        </w:tabs>
        <w:spacing w:line="360" w:lineRule="auto"/>
        <w:rPr>
          <w:rFonts w:asciiTheme="minorHAnsi" w:eastAsiaTheme="minorEastAsia" w:hAnsiTheme="minorHAnsi" w:cstheme="minorBidi"/>
          <w:noProof/>
          <w:kern w:val="2"/>
          <w:szCs w:val="24"/>
          <w14:ligatures w14:val="standardContextual"/>
        </w:rPr>
      </w:pPr>
      <w:hyperlink w:anchor="_Toc165029357" w:history="1">
        <w:r w:rsidR="00DE1EFE" w:rsidRPr="00C65B39">
          <w:rPr>
            <w:rStyle w:val="Hyperlink"/>
            <w:rFonts w:cs="Times New Roman"/>
            <w:noProof/>
          </w:rPr>
          <w:t>Table A2: Variance Partitioning of salamanders and cover objects for each dissimilarity. Only values greater than zero are shown.</w:t>
        </w:r>
        <w:r w:rsidR="00DE1EFE">
          <w:rPr>
            <w:noProof/>
            <w:webHidden/>
          </w:rPr>
          <w:tab/>
        </w:r>
        <w:r w:rsidR="00DE1EFE">
          <w:rPr>
            <w:noProof/>
            <w:webHidden/>
          </w:rPr>
          <w:fldChar w:fldCharType="begin"/>
        </w:r>
        <w:r w:rsidR="00DE1EFE">
          <w:rPr>
            <w:noProof/>
            <w:webHidden/>
          </w:rPr>
          <w:instrText xml:space="preserve"> PAGEREF _Toc165029357 \h </w:instrText>
        </w:r>
        <w:r w:rsidR="00DE1EFE">
          <w:rPr>
            <w:noProof/>
            <w:webHidden/>
          </w:rPr>
        </w:r>
        <w:r w:rsidR="00DE1EFE">
          <w:rPr>
            <w:noProof/>
            <w:webHidden/>
          </w:rPr>
          <w:fldChar w:fldCharType="separate"/>
        </w:r>
        <w:r w:rsidR="001648DD">
          <w:rPr>
            <w:noProof/>
            <w:webHidden/>
          </w:rPr>
          <w:t>119</w:t>
        </w:r>
        <w:r w:rsidR="00DE1EFE">
          <w:rPr>
            <w:noProof/>
            <w:webHidden/>
          </w:rPr>
          <w:fldChar w:fldCharType="end"/>
        </w:r>
      </w:hyperlink>
    </w:p>
    <w:p w14:paraId="0F86E12D" w14:textId="68CBDC74" w:rsidR="00DE1EFE" w:rsidRDefault="00000000" w:rsidP="00DE1EFE">
      <w:pPr>
        <w:pStyle w:val="TableofFigures"/>
        <w:tabs>
          <w:tab w:val="right" w:leader="dot" w:pos="9350"/>
        </w:tabs>
        <w:spacing w:line="360" w:lineRule="auto"/>
        <w:rPr>
          <w:rFonts w:asciiTheme="minorHAnsi" w:eastAsiaTheme="minorEastAsia" w:hAnsiTheme="minorHAnsi" w:cstheme="minorBidi"/>
          <w:noProof/>
          <w:kern w:val="2"/>
          <w:szCs w:val="24"/>
          <w14:ligatures w14:val="standardContextual"/>
        </w:rPr>
      </w:pPr>
      <w:hyperlink w:anchor="_Toc165029358" w:history="1">
        <w:r w:rsidR="00DE1EFE" w:rsidRPr="00C65B39">
          <w:rPr>
            <w:rStyle w:val="Hyperlink"/>
            <w:rFonts w:cs="Times New Roman"/>
            <w:noProof/>
          </w:rPr>
          <w:t>Table A3: Point biserial correlation coefficient used for identifying OTUs associated with salamanders.</w:t>
        </w:r>
        <w:r w:rsidR="00DE1EFE">
          <w:rPr>
            <w:noProof/>
            <w:webHidden/>
          </w:rPr>
          <w:tab/>
        </w:r>
        <w:r w:rsidR="00DE1EFE">
          <w:rPr>
            <w:noProof/>
            <w:webHidden/>
          </w:rPr>
          <w:fldChar w:fldCharType="begin"/>
        </w:r>
        <w:r w:rsidR="00DE1EFE">
          <w:rPr>
            <w:noProof/>
            <w:webHidden/>
          </w:rPr>
          <w:instrText xml:space="preserve"> PAGEREF _Toc165029358 \h </w:instrText>
        </w:r>
        <w:r w:rsidR="00DE1EFE">
          <w:rPr>
            <w:noProof/>
            <w:webHidden/>
          </w:rPr>
        </w:r>
        <w:r w:rsidR="00DE1EFE">
          <w:rPr>
            <w:noProof/>
            <w:webHidden/>
          </w:rPr>
          <w:fldChar w:fldCharType="separate"/>
        </w:r>
        <w:r w:rsidR="001648DD">
          <w:rPr>
            <w:noProof/>
            <w:webHidden/>
          </w:rPr>
          <w:t>126</w:t>
        </w:r>
        <w:r w:rsidR="00DE1EFE">
          <w:rPr>
            <w:noProof/>
            <w:webHidden/>
          </w:rPr>
          <w:fldChar w:fldCharType="end"/>
        </w:r>
      </w:hyperlink>
    </w:p>
    <w:p w14:paraId="44793FE8" w14:textId="655675B3" w:rsidR="00DE1EFE" w:rsidRDefault="00000000" w:rsidP="00DE1EFE">
      <w:pPr>
        <w:pStyle w:val="TableofFigures"/>
        <w:tabs>
          <w:tab w:val="right" w:leader="dot" w:pos="9350"/>
        </w:tabs>
        <w:spacing w:line="360" w:lineRule="auto"/>
        <w:rPr>
          <w:rFonts w:asciiTheme="minorHAnsi" w:eastAsiaTheme="minorEastAsia" w:hAnsiTheme="minorHAnsi" w:cstheme="minorBidi"/>
          <w:noProof/>
          <w:kern w:val="2"/>
          <w:szCs w:val="24"/>
          <w14:ligatures w14:val="standardContextual"/>
        </w:rPr>
      </w:pPr>
      <w:hyperlink w:anchor="_Toc165029359" w:history="1">
        <w:r w:rsidR="00DE1EFE" w:rsidRPr="00C65B39">
          <w:rPr>
            <w:rStyle w:val="Hyperlink"/>
            <w:rFonts w:cs="Times New Roman"/>
            <w:noProof/>
          </w:rPr>
          <w:t>Table A4: OTUs associated with anti-fungal capabilities and the detection on salamanders.</w:t>
        </w:r>
        <w:r w:rsidR="00DE1EFE">
          <w:rPr>
            <w:noProof/>
            <w:webHidden/>
          </w:rPr>
          <w:tab/>
        </w:r>
        <w:r w:rsidR="00DE1EFE">
          <w:rPr>
            <w:noProof/>
            <w:webHidden/>
          </w:rPr>
          <w:fldChar w:fldCharType="begin"/>
        </w:r>
        <w:r w:rsidR="00DE1EFE">
          <w:rPr>
            <w:noProof/>
            <w:webHidden/>
          </w:rPr>
          <w:instrText xml:space="preserve"> PAGEREF _Toc165029359 \h </w:instrText>
        </w:r>
        <w:r w:rsidR="00DE1EFE">
          <w:rPr>
            <w:noProof/>
            <w:webHidden/>
          </w:rPr>
        </w:r>
        <w:r w:rsidR="00DE1EFE">
          <w:rPr>
            <w:noProof/>
            <w:webHidden/>
          </w:rPr>
          <w:fldChar w:fldCharType="separate"/>
        </w:r>
        <w:r w:rsidR="001648DD">
          <w:rPr>
            <w:noProof/>
            <w:webHidden/>
          </w:rPr>
          <w:t>139</w:t>
        </w:r>
        <w:r w:rsidR="00DE1EFE">
          <w:rPr>
            <w:noProof/>
            <w:webHidden/>
          </w:rPr>
          <w:fldChar w:fldCharType="end"/>
        </w:r>
      </w:hyperlink>
    </w:p>
    <w:p w14:paraId="36A6ACEE" w14:textId="77777777" w:rsidR="00DE1EFE" w:rsidRPr="00DE1EFE" w:rsidRDefault="00DE1EFE" w:rsidP="00DE1EFE">
      <w:pPr>
        <w:spacing w:line="360" w:lineRule="auto"/>
        <w:rPr>
          <w:noProof/>
        </w:rPr>
      </w:pPr>
    </w:p>
    <w:p w14:paraId="2745FA3B" w14:textId="77777777" w:rsidR="00D339EF" w:rsidRPr="00D339EF" w:rsidRDefault="00D339EF" w:rsidP="00DE1EFE">
      <w:pPr>
        <w:spacing w:line="360" w:lineRule="auto"/>
        <w:rPr>
          <w:noProof/>
        </w:rPr>
      </w:pPr>
    </w:p>
    <w:p w14:paraId="3D31354C" w14:textId="77777777" w:rsidR="00285C59" w:rsidRPr="00285C59" w:rsidRDefault="00285C59" w:rsidP="00DE1EFE">
      <w:pPr>
        <w:spacing w:line="360" w:lineRule="auto"/>
        <w:rPr>
          <w:noProof/>
        </w:rPr>
      </w:pPr>
    </w:p>
    <w:p w14:paraId="5A626059" w14:textId="0D4ADDC5" w:rsidR="00122B3E" w:rsidRDefault="00122B3E" w:rsidP="00DE1EFE">
      <w:pPr>
        <w:pStyle w:val="TableofFigures"/>
        <w:tabs>
          <w:tab w:val="right" w:leader="dot" w:pos="9350"/>
        </w:tabs>
        <w:spacing w:line="360" w:lineRule="auto"/>
        <w:rPr>
          <w:rStyle w:val="Hyperlink"/>
          <w:noProof/>
        </w:rPr>
      </w:pPr>
    </w:p>
    <w:p w14:paraId="50DD1DBA" w14:textId="77777777" w:rsidR="00122B3E" w:rsidRPr="00122B3E" w:rsidRDefault="00122B3E" w:rsidP="00DE1EFE">
      <w:pPr>
        <w:spacing w:line="360" w:lineRule="auto"/>
        <w:rPr>
          <w:rFonts w:eastAsiaTheme="minorEastAsia"/>
          <w:noProof/>
        </w:rPr>
      </w:pPr>
    </w:p>
    <w:p w14:paraId="2B8F17A5" w14:textId="79E878E9" w:rsidR="00DE1EFE" w:rsidRPr="004B6806" w:rsidRDefault="00387656" w:rsidP="00DE1EFE">
      <w:pPr>
        <w:spacing w:line="360" w:lineRule="auto"/>
        <w:outlineLvl w:val="0"/>
        <w:rPr>
          <w:rFonts w:ascii="Times New Roman" w:hAnsi="Times New Roman" w:cs="Times New Roman"/>
        </w:rPr>
      </w:pPr>
      <w:r w:rsidRPr="00D06E3A">
        <w:rPr>
          <w:rFonts w:ascii="Times New Roman" w:hAnsi="Times New Roman" w:cs="Times New Roman"/>
        </w:rPr>
        <w:fldChar w:fldCharType="end"/>
      </w:r>
    </w:p>
    <w:p w14:paraId="554B67B4" w14:textId="7A9588D6" w:rsidR="00236E6D" w:rsidRPr="004B6806" w:rsidRDefault="00236E6D" w:rsidP="005E54E2">
      <w:pPr>
        <w:rPr>
          <w:rFonts w:ascii="Times New Roman" w:hAnsi="Times New Roman" w:cs="Times New Roman"/>
        </w:rPr>
      </w:pPr>
    </w:p>
    <w:p w14:paraId="48D63CA8" w14:textId="77777777" w:rsidR="00236E6D" w:rsidRPr="004B6806" w:rsidRDefault="00236E6D" w:rsidP="00904969">
      <w:pPr>
        <w:rPr>
          <w:rFonts w:ascii="Times New Roman" w:hAnsi="Times New Roman" w:cs="Times New Roman"/>
        </w:rPr>
      </w:pPr>
    </w:p>
    <w:p w14:paraId="5DE1D1D2" w14:textId="77777777" w:rsidR="0085757D" w:rsidRPr="004B6806" w:rsidRDefault="0085757D" w:rsidP="00904969">
      <w:pPr>
        <w:rPr>
          <w:rFonts w:ascii="Times New Roman" w:hAnsi="Times New Roman" w:cs="Times New Roman"/>
        </w:rPr>
      </w:pPr>
    </w:p>
    <w:p w14:paraId="3B3B487F" w14:textId="77777777" w:rsidR="0085757D" w:rsidRPr="00DF7C87" w:rsidRDefault="0085757D" w:rsidP="00904969">
      <w:pPr>
        <w:rPr>
          <w:rFonts w:ascii="Times New Roman" w:hAnsi="Times New Roman" w:cs="Times New Roman"/>
        </w:rPr>
      </w:pPr>
    </w:p>
    <w:p w14:paraId="6C58F67E" w14:textId="77777777" w:rsidR="0085757D" w:rsidRPr="00DF7C87" w:rsidRDefault="0085757D" w:rsidP="00904969">
      <w:pPr>
        <w:rPr>
          <w:rFonts w:ascii="Times New Roman" w:hAnsi="Times New Roman" w:cs="Times New Roman"/>
        </w:rPr>
      </w:pPr>
    </w:p>
    <w:p w14:paraId="781D68BD" w14:textId="77777777" w:rsidR="0085757D" w:rsidRPr="00DF7C87" w:rsidRDefault="0085757D" w:rsidP="00904969">
      <w:pPr>
        <w:rPr>
          <w:rFonts w:ascii="Times New Roman" w:hAnsi="Times New Roman" w:cs="Times New Roman"/>
        </w:rPr>
      </w:pPr>
    </w:p>
    <w:p w14:paraId="1B480882" w14:textId="77777777" w:rsidR="00904969" w:rsidRPr="00060A6A" w:rsidRDefault="00236E6D" w:rsidP="00904969">
      <w:pPr>
        <w:pStyle w:val="Title"/>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357B21CB" w14:textId="77777777" w:rsidR="00C30D60" w:rsidRPr="00DF7C87" w:rsidRDefault="00C30D60" w:rsidP="00904969">
      <w:pPr>
        <w:pStyle w:val="Title"/>
        <w:rPr>
          <w:rFonts w:ascii="Times New Roman" w:hAnsi="Times New Roman" w:cs="Times New Roman"/>
          <w:sz w:val="24"/>
        </w:rPr>
      </w:pPr>
    </w:p>
    <w:p w14:paraId="544E3E28" w14:textId="0E90163C" w:rsidR="00491D83" w:rsidRDefault="00491D83"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r>
        <w:rPr>
          <w:rFonts w:cs="Times New Roman"/>
          <w:b/>
          <w:smallCaps/>
          <w:sz w:val="20"/>
        </w:rPr>
        <w:fldChar w:fldCharType="begin"/>
      </w:r>
      <w:r>
        <w:rPr>
          <w:rFonts w:cs="Times New Roman"/>
          <w:b/>
          <w:smallCaps/>
          <w:sz w:val="20"/>
        </w:rPr>
        <w:instrText xml:space="preserve"> TOC \h \z \c "Figure" </w:instrText>
      </w:r>
      <w:r>
        <w:rPr>
          <w:rFonts w:cs="Times New Roman"/>
          <w:b/>
          <w:smallCaps/>
          <w:sz w:val="20"/>
        </w:rPr>
        <w:fldChar w:fldCharType="separate"/>
      </w:r>
      <w:hyperlink w:anchor="_Toc165024858" w:history="1">
        <w:r w:rsidRPr="00E83DA2">
          <w:rPr>
            <w:rStyle w:val="Hyperlink"/>
            <w:rFonts w:cs="Times New Roman"/>
            <w:noProof/>
          </w:rPr>
          <w:t>Figure 1: Unconstrained ordinations of the Horn dissimilarity for all samples (top left), only cover objects (top right) and salamanders colored by habitat (lower left) and species (lower right)</w:t>
        </w:r>
        <w:r>
          <w:rPr>
            <w:noProof/>
            <w:webHidden/>
          </w:rPr>
          <w:tab/>
        </w:r>
        <w:r>
          <w:rPr>
            <w:noProof/>
            <w:webHidden/>
          </w:rPr>
          <w:fldChar w:fldCharType="begin"/>
        </w:r>
        <w:r>
          <w:rPr>
            <w:noProof/>
            <w:webHidden/>
          </w:rPr>
          <w:instrText xml:space="preserve"> PAGEREF _Toc165024858 \h </w:instrText>
        </w:r>
        <w:r>
          <w:rPr>
            <w:noProof/>
            <w:webHidden/>
          </w:rPr>
        </w:r>
        <w:r>
          <w:rPr>
            <w:noProof/>
            <w:webHidden/>
          </w:rPr>
          <w:fldChar w:fldCharType="separate"/>
        </w:r>
        <w:r w:rsidR="001648DD">
          <w:rPr>
            <w:noProof/>
            <w:webHidden/>
          </w:rPr>
          <w:t>21</w:t>
        </w:r>
        <w:r>
          <w:rPr>
            <w:noProof/>
            <w:webHidden/>
          </w:rPr>
          <w:fldChar w:fldCharType="end"/>
        </w:r>
      </w:hyperlink>
    </w:p>
    <w:p w14:paraId="58B35647" w14:textId="64785845"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59" w:history="1">
        <w:r w:rsidR="00491D83" w:rsidRPr="00E83DA2">
          <w:rPr>
            <w:rStyle w:val="Hyperlink"/>
            <w:rFonts w:cs="Times New Roman"/>
            <w:noProof/>
          </w:rPr>
          <w:t>Figure 2: Variance partitioning of variables. Values denote adjust r</w:t>
        </w:r>
        <w:r w:rsidR="00491D83" w:rsidRPr="00E83DA2">
          <w:rPr>
            <w:rStyle w:val="Hyperlink"/>
            <w:rFonts w:cs="Times New Roman"/>
            <w:noProof/>
            <w:vertAlign w:val="superscript"/>
          </w:rPr>
          <w:t>2</w:t>
        </w:r>
        <w:r w:rsidR="00491D83" w:rsidRPr="00E83DA2">
          <w:rPr>
            <w:rStyle w:val="Hyperlink"/>
            <w:rFonts w:cs="Times New Roman"/>
            <w:noProof/>
          </w:rPr>
          <w:t>. All diagrams show partitioning of the Horn dissimilarity, except where denoted.</w:t>
        </w:r>
        <w:r w:rsidR="00491D83">
          <w:rPr>
            <w:noProof/>
            <w:webHidden/>
          </w:rPr>
          <w:tab/>
        </w:r>
        <w:r w:rsidR="00491D83">
          <w:rPr>
            <w:noProof/>
            <w:webHidden/>
          </w:rPr>
          <w:fldChar w:fldCharType="begin"/>
        </w:r>
        <w:r w:rsidR="00491D83">
          <w:rPr>
            <w:noProof/>
            <w:webHidden/>
          </w:rPr>
          <w:instrText xml:space="preserve"> PAGEREF _Toc165024859 \h </w:instrText>
        </w:r>
        <w:r w:rsidR="00491D83">
          <w:rPr>
            <w:noProof/>
            <w:webHidden/>
          </w:rPr>
        </w:r>
        <w:r w:rsidR="00491D83">
          <w:rPr>
            <w:noProof/>
            <w:webHidden/>
          </w:rPr>
          <w:fldChar w:fldCharType="separate"/>
        </w:r>
        <w:r w:rsidR="001648DD">
          <w:rPr>
            <w:noProof/>
            <w:webHidden/>
          </w:rPr>
          <w:t>22</w:t>
        </w:r>
        <w:r w:rsidR="00491D83">
          <w:rPr>
            <w:noProof/>
            <w:webHidden/>
          </w:rPr>
          <w:fldChar w:fldCharType="end"/>
        </w:r>
      </w:hyperlink>
    </w:p>
    <w:p w14:paraId="7301C226" w14:textId="4BEE2761"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0" w:history="1">
        <w:r w:rsidR="00491D83" w:rsidRPr="00E83DA2">
          <w:rPr>
            <w:rStyle w:val="Hyperlink"/>
            <w:rFonts w:cs="Times New Roman"/>
            <w:noProof/>
          </w:rPr>
          <w:t>Figure 3: Boxplots of OTUs of pairwise Horn dissimilarity. "Same Microhabitat" means same salamander species. All comparisons are within a site.</w:t>
        </w:r>
        <w:r w:rsidR="00491D83">
          <w:rPr>
            <w:noProof/>
            <w:webHidden/>
          </w:rPr>
          <w:tab/>
        </w:r>
        <w:r w:rsidR="00491D83">
          <w:rPr>
            <w:noProof/>
            <w:webHidden/>
          </w:rPr>
          <w:fldChar w:fldCharType="begin"/>
        </w:r>
        <w:r w:rsidR="00491D83">
          <w:rPr>
            <w:noProof/>
            <w:webHidden/>
          </w:rPr>
          <w:instrText xml:space="preserve"> PAGEREF _Toc165024860 \h </w:instrText>
        </w:r>
        <w:r w:rsidR="00491D83">
          <w:rPr>
            <w:noProof/>
            <w:webHidden/>
          </w:rPr>
        </w:r>
        <w:r w:rsidR="00491D83">
          <w:rPr>
            <w:noProof/>
            <w:webHidden/>
          </w:rPr>
          <w:fldChar w:fldCharType="separate"/>
        </w:r>
        <w:r w:rsidR="001648DD">
          <w:rPr>
            <w:noProof/>
            <w:webHidden/>
          </w:rPr>
          <w:t>23</w:t>
        </w:r>
        <w:r w:rsidR="00491D83">
          <w:rPr>
            <w:noProof/>
            <w:webHidden/>
          </w:rPr>
          <w:fldChar w:fldCharType="end"/>
        </w:r>
      </w:hyperlink>
    </w:p>
    <w:p w14:paraId="25821C46" w14:textId="0C827DB4"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1" w:history="1">
        <w:r w:rsidR="00491D83" w:rsidRPr="00E83DA2">
          <w:rPr>
            <w:rStyle w:val="Hyperlink"/>
            <w:rFonts w:cs="Times New Roman"/>
            <w:noProof/>
          </w:rPr>
          <w:t>Figure 4: Host phylogeny (left) and hierarchical clustering of the Horn dissimilarity (right).</w:t>
        </w:r>
        <w:r w:rsidR="00491D83">
          <w:rPr>
            <w:noProof/>
            <w:webHidden/>
          </w:rPr>
          <w:tab/>
        </w:r>
        <w:r w:rsidR="00491D83">
          <w:rPr>
            <w:noProof/>
            <w:webHidden/>
          </w:rPr>
          <w:fldChar w:fldCharType="begin"/>
        </w:r>
        <w:r w:rsidR="00491D83">
          <w:rPr>
            <w:noProof/>
            <w:webHidden/>
          </w:rPr>
          <w:instrText xml:space="preserve"> PAGEREF _Toc165024861 \h </w:instrText>
        </w:r>
        <w:r w:rsidR="00491D83">
          <w:rPr>
            <w:noProof/>
            <w:webHidden/>
          </w:rPr>
        </w:r>
        <w:r w:rsidR="00491D83">
          <w:rPr>
            <w:noProof/>
            <w:webHidden/>
          </w:rPr>
          <w:fldChar w:fldCharType="separate"/>
        </w:r>
        <w:r w:rsidR="001648DD">
          <w:rPr>
            <w:noProof/>
            <w:webHidden/>
          </w:rPr>
          <w:t>26</w:t>
        </w:r>
        <w:r w:rsidR="00491D83">
          <w:rPr>
            <w:noProof/>
            <w:webHidden/>
          </w:rPr>
          <w:fldChar w:fldCharType="end"/>
        </w:r>
      </w:hyperlink>
    </w:p>
    <w:p w14:paraId="0B8375A3" w14:textId="47417E4E"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2" w:history="1">
        <w:r w:rsidR="00491D83" w:rsidRPr="00E83DA2">
          <w:rPr>
            <w:rStyle w:val="Hyperlink"/>
            <w:rFonts w:cs="Times New Roman"/>
            <w:noProof/>
          </w:rPr>
          <w:t>Figure 5: Alpha Diversity estimates for communities on salamanders, terrestrial cover objects, and aquatic cover objects at three orders of diversity.</w:t>
        </w:r>
        <w:r w:rsidR="00491D83">
          <w:rPr>
            <w:noProof/>
            <w:webHidden/>
          </w:rPr>
          <w:tab/>
        </w:r>
        <w:r w:rsidR="00491D83">
          <w:rPr>
            <w:noProof/>
            <w:webHidden/>
          </w:rPr>
          <w:fldChar w:fldCharType="begin"/>
        </w:r>
        <w:r w:rsidR="00491D83">
          <w:rPr>
            <w:noProof/>
            <w:webHidden/>
          </w:rPr>
          <w:instrText xml:space="preserve"> PAGEREF _Toc165024862 \h </w:instrText>
        </w:r>
        <w:r w:rsidR="00491D83">
          <w:rPr>
            <w:noProof/>
            <w:webHidden/>
          </w:rPr>
        </w:r>
        <w:r w:rsidR="00491D83">
          <w:rPr>
            <w:noProof/>
            <w:webHidden/>
          </w:rPr>
          <w:fldChar w:fldCharType="separate"/>
        </w:r>
        <w:r w:rsidR="001648DD">
          <w:rPr>
            <w:noProof/>
            <w:webHidden/>
          </w:rPr>
          <w:t>27</w:t>
        </w:r>
        <w:r w:rsidR="00491D83">
          <w:rPr>
            <w:noProof/>
            <w:webHidden/>
          </w:rPr>
          <w:fldChar w:fldCharType="end"/>
        </w:r>
      </w:hyperlink>
    </w:p>
    <w:p w14:paraId="4D449746" w14:textId="64B52DFC"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3" w:history="1">
        <w:r w:rsidR="00491D83" w:rsidRPr="00E83DA2">
          <w:rPr>
            <w:rStyle w:val="Hyperlink"/>
            <w:rFonts w:cs="Times New Roman"/>
            <w:noProof/>
          </w:rPr>
          <w:t>Figure 6: Distribution of point biserial correlation coefficients describing strength of association of ASVs and salamander hosts.</w:t>
        </w:r>
        <w:r w:rsidR="00491D83">
          <w:rPr>
            <w:noProof/>
            <w:webHidden/>
          </w:rPr>
          <w:tab/>
        </w:r>
        <w:r w:rsidR="00491D83">
          <w:rPr>
            <w:noProof/>
            <w:webHidden/>
          </w:rPr>
          <w:fldChar w:fldCharType="begin"/>
        </w:r>
        <w:r w:rsidR="00491D83">
          <w:rPr>
            <w:noProof/>
            <w:webHidden/>
          </w:rPr>
          <w:instrText xml:space="preserve"> PAGEREF _Toc165024863 \h </w:instrText>
        </w:r>
        <w:r w:rsidR="00491D83">
          <w:rPr>
            <w:noProof/>
            <w:webHidden/>
          </w:rPr>
        </w:r>
        <w:r w:rsidR="00491D83">
          <w:rPr>
            <w:noProof/>
            <w:webHidden/>
          </w:rPr>
          <w:fldChar w:fldCharType="separate"/>
        </w:r>
        <w:r w:rsidR="001648DD">
          <w:rPr>
            <w:noProof/>
            <w:webHidden/>
          </w:rPr>
          <w:t>28</w:t>
        </w:r>
        <w:r w:rsidR="00491D83">
          <w:rPr>
            <w:noProof/>
            <w:webHidden/>
          </w:rPr>
          <w:fldChar w:fldCharType="end"/>
        </w:r>
      </w:hyperlink>
    </w:p>
    <w:p w14:paraId="5B6C46F3" w14:textId="6AAA1E94"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4" w:history="1">
        <w:r w:rsidR="00491D83" w:rsidRPr="00E83DA2">
          <w:rPr>
            <w:rStyle w:val="Hyperlink"/>
            <w:rFonts w:cs="Times New Roman"/>
            <w:noProof/>
          </w:rPr>
          <w:t>Figure 7: Possible scenarios driving community (dis)similarity between two salamanders (S1 and S2) and their respective cover objects (C1 and C2).</w:t>
        </w:r>
        <w:r w:rsidR="00491D83">
          <w:rPr>
            <w:noProof/>
            <w:webHidden/>
          </w:rPr>
          <w:tab/>
        </w:r>
        <w:r w:rsidR="00491D83">
          <w:rPr>
            <w:noProof/>
            <w:webHidden/>
          </w:rPr>
          <w:fldChar w:fldCharType="begin"/>
        </w:r>
        <w:r w:rsidR="00491D83">
          <w:rPr>
            <w:noProof/>
            <w:webHidden/>
          </w:rPr>
          <w:instrText xml:space="preserve"> PAGEREF _Toc165024864 \h </w:instrText>
        </w:r>
        <w:r w:rsidR="00491D83">
          <w:rPr>
            <w:noProof/>
            <w:webHidden/>
          </w:rPr>
        </w:r>
        <w:r w:rsidR="00491D83">
          <w:rPr>
            <w:noProof/>
            <w:webHidden/>
          </w:rPr>
          <w:fldChar w:fldCharType="separate"/>
        </w:r>
        <w:r w:rsidR="001648DD">
          <w:rPr>
            <w:noProof/>
            <w:webHidden/>
          </w:rPr>
          <w:t>39</w:t>
        </w:r>
        <w:r w:rsidR="00491D83">
          <w:rPr>
            <w:noProof/>
            <w:webHidden/>
          </w:rPr>
          <w:fldChar w:fldCharType="end"/>
        </w:r>
      </w:hyperlink>
    </w:p>
    <w:p w14:paraId="63EAAF0B" w14:textId="66C400C4"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5" w:history="1">
        <w:r w:rsidR="00491D83" w:rsidRPr="00E83DA2">
          <w:rPr>
            <w:rStyle w:val="Hyperlink"/>
            <w:rFonts w:cs="Times New Roman"/>
            <w:noProof/>
          </w:rPr>
          <w:t>Figure 8: Similarity and Differences between Sample groups. Colors represent average Phylogenetic (BNTI) and Taxonomic (RC</w:t>
        </w:r>
        <w:r w:rsidR="00491D83" w:rsidRPr="00E83DA2">
          <w:rPr>
            <w:rStyle w:val="Hyperlink"/>
            <w:rFonts w:cs="Times New Roman"/>
            <w:noProof/>
            <w:vertAlign w:val="subscript"/>
          </w:rPr>
          <w:t>Horn</w:t>
        </w:r>
        <w:r w:rsidR="00491D83" w:rsidRPr="00E83DA2">
          <w:rPr>
            <w:rStyle w:val="Hyperlink"/>
            <w:rFonts w:cs="Times New Roman"/>
            <w:noProof/>
          </w:rPr>
          <w:t>) values for each sample.</w:t>
        </w:r>
        <w:r w:rsidR="00491D83">
          <w:rPr>
            <w:noProof/>
            <w:webHidden/>
          </w:rPr>
          <w:tab/>
        </w:r>
        <w:r w:rsidR="00491D83">
          <w:rPr>
            <w:noProof/>
            <w:webHidden/>
          </w:rPr>
          <w:fldChar w:fldCharType="begin"/>
        </w:r>
        <w:r w:rsidR="00491D83">
          <w:rPr>
            <w:noProof/>
            <w:webHidden/>
          </w:rPr>
          <w:instrText xml:space="preserve"> PAGEREF _Toc165024865 \h </w:instrText>
        </w:r>
        <w:r w:rsidR="00491D83">
          <w:rPr>
            <w:noProof/>
            <w:webHidden/>
          </w:rPr>
        </w:r>
        <w:r w:rsidR="00491D83">
          <w:rPr>
            <w:noProof/>
            <w:webHidden/>
          </w:rPr>
          <w:fldChar w:fldCharType="separate"/>
        </w:r>
        <w:r w:rsidR="001648DD">
          <w:rPr>
            <w:noProof/>
            <w:webHidden/>
          </w:rPr>
          <w:t>48</w:t>
        </w:r>
        <w:r w:rsidR="00491D83">
          <w:rPr>
            <w:noProof/>
            <w:webHidden/>
          </w:rPr>
          <w:fldChar w:fldCharType="end"/>
        </w:r>
      </w:hyperlink>
    </w:p>
    <w:p w14:paraId="3D4A1FE0" w14:textId="26FAB067"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6" w:history="1">
        <w:r w:rsidR="00491D83" w:rsidRPr="00E83DA2">
          <w:rPr>
            <w:rStyle w:val="Hyperlink"/>
            <w:rFonts w:cs="Times New Roman"/>
            <w:noProof/>
          </w:rPr>
          <w:t>Figure 9: Correlation between relative abundance on salamanders (x-axis) and relative abundance on cover objects (y-axis). Gray points denote taxa detected in both salamander and cover object samples. Note the log-transformed x and y axes.</w:t>
        </w:r>
        <w:r w:rsidR="00491D83">
          <w:rPr>
            <w:noProof/>
            <w:webHidden/>
          </w:rPr>
          <w:tab/>
        </w:r>
        <w:r w:rsidR="00491D83">
          <w:rPr>
            <w:noProof/>
            <w:webHidden/>
          </w:rPr>
          <w:fldChar w:fldCharType="begin"/>
        </w:r>
        <w:r w:rsidR="00491D83">
          <w:rPr>
            <w:noProof/>
            <w:webHidden/>
          </w:rPr>
          <w:instrText xml:space="preserve"> PAGEREF _Toc165024866 \h </w:instrText>
        </w:r>
        <w:r w:rsidR="00491D83">
          <w:rPr>
            <w:noProof/>
            <w:webHidden/>
          </w:rPr>
        </w:r>
        <w:r w:rsidR="00491D83">
          <w:rPr>
            <w:noProof/>
            <w:webHidden/>
          </w:rPr>
          <w:fldChar w:fldCharType="separate"/>
        </w:r>
        <w:r w:rsidR="001648DD">
          <w:rPr>
            <w:noProof/>
            <w:webHidden/>
          </w:rPr>
          <w:t>51</w:t>
        </w:r>
        <w:r w:rsidR="00491D83">
          <w:rPr>
            <w:noProof/>
            <w:webHidden/>
          </w:rPr>
          <w:fldChar w:fldCharType="end"/>
        </w:r>
      </w:hyperlink>
    </w:p>
    <w:p w14:paraId="5FB596E9" w14:textId="258FEF4E"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7" w:history="1">
        <w:r w:rsidR="00491D83" w:rsidRPr="00E83DA2">
          <w:rPr>
            <w:rStyle w:val="Hyperlink"/>
            <w:rFonts w:cs="Times New Roman"/>
            <w:noProof/>
          </w:rPr>
          <w:t>Figure 10: Distribution of point biserial correlation coefficients (r</w:t>
        </w:r>
        <w:r w:rsidR="00491D83" w:rsidRPr="00E83DA2">
          <w:rPr>
            <w:rStyle w:val="Hyperlink"/>
            <w:rFonts w:cs="Times New Roman"/>
            <w:noProof/>
            <w:vertAlign w:val="subscript"/>
          </w:rPr>
          <w:t>pb</w:t>
        </w:r>
        <w:r w:rsidR="00491D83" w:rsidRPr="00E83DA2">
          <w:rPr>
            <w:rStyle w:val="Hyperlink"/>
            <w:rFonts w:cs="Times New Roman"/>
            <w:noProof/>
          </w:rPr>
          <w:t>) of sequence variants for salamanders and cover objects. Rug lines denote group membership</w:t>
        </w:r>
        <w:r w:rsidR="00491D83">
          <w:rPr>
            <w:noProof/>
            <w:webHidden/>
          </w:rPr>
          <w:tab/>
        </w:r>
        <w:r w:rsidR="00491D83">
          <w:rPr>
            <w:noProof/>
            <w:webHidden/>
          </w:rPr>
          <w:fldChar w:fldCharType="begin"/>
        </w:r>
        <w:r w:rsidR="00491D83">
          <w:rPr>
            <w:noProof/>
            <w:webHidden/>
          </w:rPr>
          <w:instrText xml:space="preserve"> PAGEREF _Toc165024867 \h </w:instrText>
        </w:r>
        <w:r w:rsidR="00491D83">
          <w:rPr>
            <w:noProof/>
            <w:webHidden/>
          </w:rPr>
        </w:r>
        <w:r w:rsidR="00491D83">
          <w:rPr>
            <w:noProof/>
            <w:webHidden/>
          </w:rPr>
          <w:fldChar w:fldCharType="separate"/>
        </w:r>
        <w:r w:rsidR="001648DD">
          <w:rPr>
            <w:noProof/>
            <w:webHidden/>
          </w:rPr>
          <w:t>53</w:t>
        </w:r>
        <w:r w:rsidR="00491D83">
          <w:rPr>
            <w:noProof/>
            <w:webHidden/>
          </w:rPr>
          <w:fldChar w:fldCharType="end"/>
        </w:r>
      </w:hyperlink>
    </w:p>
    <w:p w14:paraId="546B4DDF" w14:textId="291AA297"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8" w:history="1">
        <w:r w:rsidR="00491D83" w:rsidRPr="00E83DA2">
          <w:rPr>
            <w:rStyle w:val="Hyperlink"/>
            <w:rFonts w:cs="Times New Roman"/>
            <w:noProof/>
          </w:rPr>
          <w:t>Figure 11: Evenness profile of communities on salamanders seasonally.</w:t>
        </w:r>
        <w:r w:rsidR="00491D83">
          <w:rPr>
            <w:noProof/>
            <w:webHidden/>
          </w:rPr>
          <w:tab/>
        </w:r>
        <w:r w:rsidR="00491D83">
          <w:rPr>
            <w:noProof/>
            <w:webHidden/>
          </w:rPr>
          <w:fldChar w:fldCharType="begin"/>
        </w:r>
        <w:r w:rsidR="00491D83">
          <w:rPr>
            <w:noProof/>
            <w:webHidden/>
          </w:rPr>
          <w:instrText xml:space="preserve"> PAGEREF _Toc165024868 \h </w:instrText>
        </w:r>
        <w:r w:rsidR="00491D83">
          <w:rPr>
            <w:noProof/>
            <w:webHidden/>
          </w:rPr>
        </w:r>
        <w:r w:rsidR="00491D83">
          <w:rPr>
            <w:noProof/>
            <w:webHidden/>
          </w:rPr>
          <w:fldChar w:fldCharType="separate"/>
        </w:r>
        <w:r w:rsidR="001648DD">
          <w:rPr>
            <w:noProof/>
            <w:webHidden/>
          </w:rPr>
          <w:t>75</w:t>
        </w:r>
        <w:r w:rsidR="00491D83">
          <w:rPr>
            <w:noProof/>
            <w:webHidden/>
          </w:rPr>
          <w:fldChar w:fldCharType="end"/>
        </w:r>
      </w:hyperlink>
    </w:p>
    <w:p w14:paraId="33974D10" w14:textId="084E067A"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69" w:history="1">
        <w:r w:rsidR="00491D83" w:rsidRPr="00E83DA2">
          <w:rPr>
            <w:rStyle w:val="Hyperlink"/>
            <w:rFonts w:cs="Times New Roman"/>
            <w:noProof/>
          </w:rPr>
          <w:t>Figure 12: Unconstrained ordination of Horn and PhyloHorn dissimilarities of salamander-associated communities.</w:t>
        </w:r>
        <w:r w:rsidR="00491D83">
          <w:rPr>
            <w:noProof/>
            <w:webHidden/>
          </w:rPr>
          <w:tab/>
        </w:r>
        <w:r w:rsidR="00491D83">
          <w:rPr>
            <w:noProof/>
            <w:webHidden/>
          </w:rPr>
          <w:fldChar w:fldCharType="begin"/>
        </w:r>
        <w:r w:rsidR="00491D83">
          <w:rPr>
            <w:noProof/>
            <w:webHidden/>
          </w:rPr>
          <w:instrText xml:space="preserve"> PAGEREF _Toc165024869 \h </w:instrText>
        </w:r>
        <w:r w:rsidR="00491D83">
          <w:rPr>
            <w:noProof/>
            <w:webHidden/>
          </w:rPr>
        </w:r>
        <w:r w:rsidR="00491D83">
          <w:rPr>
            <w:noProof/>
            <w:webHidden/>
          </w:rPr>
          <w:fldChar w:fldCharType="separate"/>
        </w:r>
        <w:r w:rsidR="001648DD">
          <w:rPr>
            <w:noProof/>
            <w:webHidden/>
          </w:rPr>
          <w:t>77</w:t>
        </w:r>
        <w:r w:rsidR="00491D83">
          <w:rPr>
            <w:noProof/>
            <w:webHidden/>
          </w:rPr>
          <w:fldChar w:fldCharType="end"/>
        </w:r>
      </w:hyperlink>
    </w:p>
    <w:p w14:paraId="4E742B9D" w14:textId="2AD1EC97"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70" w:history="1">
        <w:r w:rsidR="00491D83" w:rsidRPr="00E83DA2">
          <w:rPr>
            <w:rStyle w:val="Hyperlink"/>
            <w:rFonts w:cs="Times New Roman"/>
            <w:noProof/>
          </w:rPr>
          <w:t>Figure 13: Pairwise turnover of salamander samples to other samples.</w:t>
        </w:r>
        <w:r w:rsidR="00491D83">
          <w:rPr>
            <w:noProof/>
            <w:webHidden/>
          </w:rPr>
          <w:tab/>
        </w:r>
        <w:r w:rsidR="00491D83">
          <w:rPr>
            <w:noProof/>
            <w:webHidden/>
          </w:rPr>
          <w:fldChar w:fldCharType="begin"/>
        </w:r>
        <w:r w:rsidR="00491D83">
          <w:rPr>
            <w:noProof/>
            <w:webHidden/>
          </w:rPr>
          <w:instrText xml:space="preserve"> PAGEREF _Toc165024870 \h </w:instrText>
        </w:r>
        <w:r w:rsidR="00491D83">
          <w:rPr>
            <w:noProof/>
            <w:webHidden/>
          </w:rPr>
        </w:r>
        <w:r w:rsidR="00491D83">
          <w:rPr>
            <w:noProof/>
            <w:webHidden/>
          </w:rPr>
          <w:fldChar w:fldCharType="separate"/>
        </w:r>
        <w:r w:rsidR="001648DD">
          <w:rPr>
            <w:noProof/>
            <w:webHidden/>
          </w:rPr>
          <w:t>79</w:t>
        </w:r>
        <w:r w:rsidR="00491D83">
          <w:rPr>
            <w:noProof/>
            <w:webHidden/>
          </w:rPr>
          <w:fldChar w:fldCharType="end"/>
        </w:r>
      </w:hyperlink>
    </w:p>
    <w:p w14:paraId="59BA06D7" w14:textId="66BCB8C9"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71" w:history="1">
        <w:r w:rsidR="00491D83" w:rsidRPr="00E83DA2">
          <w:rPr>
            <w:rStyle w:val="Hyperlink"/>
            <w:rFonts w:cs="Times New Roman"/>
            <w:noProof/>
          </w:rPr>
          <w:t>Figure 14: Relative abundance of the common ‘core’ microbiome on salamanders and cover objects. Red points denote core membership for that season, while blue indicate core OTUs for other seasons.</w:t>
        </w:r>
        <w:r w:rsidR="00491D83">
          <w:rPr>
            <w:noProof/>
            <w:webHidden/>
          </w:rPr>
          <w:tab/>
        </w:r>
        <w:r w:rsidR="00491D83">
          <w:rPr>
            <w:noProof/>
            <w:webHidden/>
          </w:rPr>
          <w:fldChar w:fldCharType="begin"/>
        </w:r>
        <w:r w:rsidR="00491D83">
          <w:rPr>
            <w:noProof/>
            <w:webHidden/>
          </w:rPr>
          <w:instrText xml:space="preserve"> PAGEREF _Toc165024871 \h </w:instrText>
        </w:r>
        <w:r w:rsidR="00491D83">
          <w:rPr>
            <w:noProof/>
            <w:webHidden/>
          </w:rPr>
        </w:r>
        <w:r w:rsidR="00491D83">
          <w:rPr>
            <w:noProof/>
            <w:webHidden/>
          </w:rPr>
          <w:fldChar w:fldCharType="separate"/>
        </w:r>
        <w:r w:rsidR="001648DD">
          <w:rPr>
            <w:noProof/>
            <w:webHidden/>
          </w:rPr>
          <w:t>80</w:t>
        </w:r>
        <w:r w:rsidR="00491D83">
          <w:rPr>
            <w:noProof/>
            <w:webHidden/>
          </w:rPr>
          <w:fldChar w:fldCharType="end"/>
        </w:r>
      </w:hyperlink>
    </w:p>
    <w:p w14:paraId="50A55A05" w14:textId="24307078"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72" w:history="1">
        <w:r w:rsidR="00491D83" w:rsidRPr="00E83DA2">
          <w:rPr>
            <w:rStyle w:val="Hyperlink"/>
            <w:rFonts w:cs="Times New Roman"/>
            <w:noProof/>
          </w:rPr>
          <w:t>Figure 15: Relative abundance of the temporal core on salamanders and cover objects for each site.</w:t>
        </w:r>
        <w:r w:rsidR="00491D83">
          <w:rPr>
            <w:noProof/>
            <w:webHidden/>
          </w:rPr>
          <w:tab/>
        </w:r>
        <w:r w:rsidR="00491D83">
          <w:rPr>
            <w:noProof/>
            <w:webHidden/>
          </w:rPr>
          <w:fldChar w:fldCharType="begin"/>
        </w:r>
        <w:r w:rsidR="00491D83">
          <w:rPr>
            <w:noProof/>
            <w:webHidden/>
          </w:rPr>
          <w:instrText xml:space="preserve"> PAGEREF _Toc165024872 \h </w:instrText>
        </w:r>
        <w:r w:rsidR="00491D83">
          <w:rPr>
            <w:noProof/>
            <w:webHidden/>
          </w:rPr>
        </w:r>
        <w:r w:rsidR="00491D83">
          <w:rPr>
            <w:noProof/>
            <w:webHidden/>
          </w:rPr>
          <w:fldChar w:fldCharType="separate"/>
        </w:r>
        <w:r w:rsidR="001648DD">
          <w:rPr>
            <w:noProof/>
            <w:webHidden/>
          </w:rPr>
          <w:t>83</w:t>
        </w:r>
        <w:r w:rsidR="00491D83">
          <w:rPr>
            <w:noProof/>
            <w:webHidden/>
          </w:rPr>
          <w:fldChar w:fldCharType="end"/>
        </w:r>
      </w:hyperlink>
    </w:p>
    <w:p w14:paraId="727B4B94" w14:textId="44A9D060"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73" w:history="1">
        <w:r w:rsidR="00491D83" w:rsidRPr="00E83DA2">
          <w:rPr>
            <w:rStyle w:val="Hyperlink"/>
            <w:rFonts w:cs="Times New Roman"/>
            <w:noProof/>
          </w:rPr>
          <w:t>Figure 16: Detection of defensive OTUs on salamander and cover objects.</w:t>
        </w:r>
        <w:r w:rsidR="00491D83">
          <w:rPr>
            <w:noProof/>
            <w:webHidden/>
          </w:rPr>
          <w:tab/>
        </w:r>
        <w:r w:rsidR="00491D83">
          <w:rPr>
            <w:noProof/>
            <w:webHidden/>
          </w:rPr>
          <w:fldChar w:fldCharType="begin"/>
        </w:r>
        <w:r w:rsidR="00491D83">
          <w:rPr>
            <w:noProof/>
            <w:webHidden/>
          </w:rPr>
          <w:instrText xml:space="preserve"> PAGEREF _Toc165024873 \h </w:instrText>
        </w:r>
        <w:r w:rsidR="00491D83">
          <w:rPr>
            <w:noProof/>
            <w:webHidden/>
          </w:rPr>
        </w:r>
        <w:r w:rsidR="00491D83">
          <w:rPr>
            <w:noProof/>
            <w:webHidden/>
          </w:rPr>
          <w:fldChar w:fldCharType="separate"/>
        </w:r>
        <w:r w:rsidR="001648DD">
          <w:rPr>
            <w:noProof/>
            <w:webHidden/>
          </w:rPr>
          <w:t>85</w:t>
        </w:r>
        <w:r w:rsidR="00491D83">
          <w:rPr>
            <w:noProof/>
            <w:webHidden/>
          </w:rPr>
          <w:fldChar w:fldCharType="end"/>
        </w:r>
      </w:hyperlink>
    </w:p>
    <w:p w14:paraId="7F0F5DD4" w14:textId="7962FCEC" w:rsidR="00491D83" w:rsidRDefault="00000000" w:rsidP="00722FB9">
      <w:pPr>
        <w:pStyle w:val="TableofFigures"/>
        <w:tabs>
          <w:tab w:val="right" w:leader="dot" w:pos="9350"/>
        </w:tabs>
        <w:spacing w:line="360" w:lineRule="auto"/>
        <w:ind w:left="475" w:hanging="475"/>
        <w:rPr>
          <w:rFonts w:asciiTheme="minorHAnsi" w:eastAsiaTheme="minorEastAsia" w:hAnsiTheme="minorHAnsi" w:cstheme="minorBidi"/>
          <w:noProof/>
          <w:kern w:val="2"/>
          <w:szCs w:val="24"/>
          <w14:ligatures w14:val="standardContextual"/>
        </w:rPr>
      </w:pPr>
      <w:hyperlink w:anchor="_Toc165024874" w:history="1">
        <w:r w:rsidR="00491D83" w:rsidRPr="00E83DA2">
          <w:rPr>
            <w:rStyle w:val="Hyperlink"/>
            <w:rFonts w:cs="Times New Roman"/>
            <w:noProof/>
          </w:rPr>
          <w:t>Figure 17: Relative abundance of OTUs showing statistical affinity for salamanders.</w:t>
        </w:r>
        <w:r w:rsidR="00491D83">
          <w:rPr>
            <w:noProof/>
            <w:webHidden/>
          </w:rPr>
          <w:tab/>
        </w:r>
        <w:r w:rsidR="00491D83">
          <w:rPr>
            <w:noProof/>
            <w:webHidden/>
          </w:rPr>
          <w:fldChar w:fldCharType="begin"/>
        </w:r>
        <w:r w:rsidR="00491D83">
          <w:rPr>
            <w:noProof/>
            <w:webHidden/>
          </w:rPr>
          <w:instrText xml:space="preserve"> PAGEREF _Toc165024874 \h </w:instrText>
        </w:r>
        <w:r w:rsidR="00491D83">
          <w:rPr>
            <w:noProof/>
            <w:webHidden/>
          </w:rPr>
        </w:r>
        <w:r w:rsidR="00491D83">
          <w:rPr>
            <w:noProof/>
            <w:webHidden/>
          </w:rPr>
          <w:fldChar w:fldCharType="separate"/>
        </w:r>
        <w:r w:rsidR="001648DD">
          <w:rPr>
            <w:noProof/>
            <w:webHidden/>
          </w:rPr>
          <w:t>86</w:t>
        </w:r>
        <w:r w:rsidR="00491D83">
          <w:rPr>
            <w:noProof/>
            <w:webHidden/>
          </w:rPr>
          <w:fldChar w:fldCharType="end"/>
        </w:r>
      </w:hyperlink>
    </w:p>
    <w:p w14:paraId="0B8F91F8" w14:textId="0EAB0114" w:rsidR="00491D83" w:rsidRDefault="00000000" w:rsidP="00722FB9">
      <w:pPr>
        <w:pStyle w:val="TableofFigures"/>
        <w:tabs>
          <w:tab w:val="right" w:leader="dot" w:pos="9350"/>
        </w:tabs>
        <w:spacing w:line="360" w:lineRule="auto"/>
        <w:ind w:left="475" w:hanging="475"/>
        <w:rPr>
          <w:rStyle w:val="Hyperlink"/>
          <w:noProof/>
        </w:rPr>
      </w:pPr>
      <w:hyperlink w:anchor="_Toc165024875" w:history="1">
        <w:r w:rsidR="00491D83" w:rsidRPr="00E83DA2">
          <w:rPr>
            <w:rStyle w:val="Hyperlink"/>
            <w:rFonts w:cs="Times New Roman"/>
            <w:noProof/>
          </w:rPr>
          <w:t>Figure 18: Distribution of observed (blue) and simulated (black) correlation coefficients.</w:t>
        </w:r>
        <w:r w:rsidR="00491D83">
          <w:rPr>
            <w:noProof/>
            <w:webHidden/>
          </w:rPr>
          <w:tab/>
        </w:r>
        <w:r w:rsidR="00491D83">
          <w:rPr>
            <w:noProof/>
            <w:webHidden/>
          </w:rPr>
          <w:fldChar w:fldCharType="begin"/>
        </w:r>
        <w:r w:rsidR="00491D83">
          <w:rPr>
            <w:noProof/>
            <w:webHidden/>
          </w:rPr>
          <w:instrText xml:space="preserve"> PAGEREF _Toc165024875 \h </w:instrText>
        </w:r>
        <w:r w:rsidR="00491D83">
          <w:rPr>
            <w:noProof/>
            <w:webHidden/>
          </w:rPr>
        </w:r>
        <w:r w:rsidR="00491D83">
          <w:rPr>
            <w:noProof/>
            <w:webHidden/>
          </w:rPr>
          <w:fldChar w:fldCharType="separate"/>
        </w:r>
        <w:r w:rsidR="001648DD">
          <w:rPr>
            <w:noProof/>
            <w:webHidden/>
          </w:rPr>
          <w:t>88</w:t>
        </w:r>
        <w:r w:rsidR="00491D83">
          <w:rPr>
            <w:noProof/>
            <w:webHidden/>
          </w:rPr>
          <w:fldChar w:fldCharType="end"/>
        </w:r>
      </w:hyperlink>
    </w:p>
    <w:p w14:paraId="6E7DC22F" w14:textId="47AE592B" w:rsidR="00E51477" w:rsidRPr="003819C7" w:rsidRDefault="00E51477" w:rsidP="00E51477">
      <w:pPr>
        <w:pStyle w:val="TableofFigures"/>
        <w:tabs>
          <w:tab w:val="right" w:leader="dot" w:pos="9350"/>
        </w:tabs>
        <w:spacing w:line="360" w:lineRule="auto"/>
        <w:rPr>
          <w:rFonts w:eastAsiaTheme="minorEastAsia" w:cs="Times New Roman"/>
          <w:noProof/>
          <w:kern w:val="2"/>
          <w14:ligatures w14:val="standardContextual"/>
        </w:rPr>
      </w:pPr>
      <w:r w:rsidRPr="003819C7">
        <w:rPr>
          <w:rFonts w:cs="Times New Roman"/>
          <w:smallCaps/>
          <w:noProof/>
          <w:sz w:val="20"/>
        </w:rPr>
        <w:fldChar w:fldCharType="begin"/>
      </w:r>
      <w:r w:rsidRPr="003819C7">
        <w:rPr>
          <w:rFonts w:cs="Times New Roman"/>
          <w:noProof/>
        </w:rPr>
        <w:instrText xml:space="preserve"> TOC \h \z \c "Figure A" </w:instrText>
      </w:r>
      <w:r w:rsidRPr="003819C7">
        <w:rPr>
          <w:rFonts w:cs="Times New Roman"/>
          <w:smallCaps/>
          <w:noProof/>
          <w:sz w:val="20"/>
        </w:rPr>
        <w:fldChar w:fldCharType="separate"/>
      </w:r>
      <w:hyperlink w:anchor="_Toc164849249" w:history="1">
        <w:r w:rsidRPr="003819C7">
          <w:rPr>
            <w:rStyle w:val="Hyperlink"/>
            <w:rFonts w:cs="Times New Roman"/>
            <w:noProof/>
          </w:rPr>
          <w:t>Figure A1: Scatterplot of richness and sequence variants for salamander and cover objects.</w:t>
        </w:r>
        <w:r w:rsidRPr="003819C7">
          <w:rPr>
            <w:rFonts w:cs="Times New Roman"/>
            <w:noProof/>
            <w:webHidden/>
          </w:rPr>
          <w:tab/>
        </w:r>
        <w:r w:rsidRPr="003819C7">
          <w:rPr>
            <w:rFonts w:cs="Times New Roman"/>
            <w:noProof/>
            <w:webHidden/>
          </w:rPr>
          <w:fldChar w:fldCharType="begin"/>
        </w:r>
        <w:r w:rsidRPr="003819C7">
          <w:rPr>
            <w:rFonts w:cs="Times New Roman"/>
            <w:noProof/>
            <w:webHidden/>
          </w:rPr>
          <w:instrText xml:space="preserve"> PAGEREF _Toc164849249 \h </w:instrText>
        </w:r>
        <w:r w:rsidRPr="003819C7">
          <w:rPr>
            <w:rFonts w:cs="Times New Roman"/>
            <w:noProof/>
            <w:webHidden/>
          </w:rPr>
        </w:r>
        <w:r w:rsidRPr="003819C7">
          <w:rPr>
            <w:rFonts w:cs="Times New Roman"/>
            <w:noProof/>
            <w:webHidden/>
          </w:rPr>
          <w:fldChar w:fldCharType="separate"/>
        </w:r>
        <w:r w:rsidR="001648DD">
          <w:rPr>
            <w:rFonts w:cs="Times New Roman"/>
            <w:noProof/>
            <w:webHidden/>
          </w:rPr>
          <w:t>121</w:t>
        </w:r>
        <w:r w:rsidRPr="003819C7">
          <w:rPr>
            <w:rFonts w:cs="Times New Roman"/>
            <w:noProof/>
            <w:webHidden/>
          </w:rPr>
          <w:fldChar w:fldCharType="end"/>
        </w:r>
      </w:hyperlink>
    </w:p>
    <w:p w14:paraId="698F6E92" w14:textId="362BF169"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0" w:history="1">
        <w:r w:rsidR="00E51477" w:rsidRPr="003819C7">
          <w:rPr>
            <w:rStyle w:val="Hyperlink"/>
            <w:rFonts w:cs="Times New Roman"/>
            <w:noProof/>
          </w:rPr>
          <w:t xml:space="preserve">Figure A2: Alpha diversity estimations for 500 rarefactions. Statistical comparisons found no significant differences between species at each order of </w:t>
        </w:r>
        <w:r w:rsidR="00E51477" w:rsidRPr="003819C7">
          <w:rPr>
            <w:rStyle w:val="Hyperlink"/>
            <w:rFonts w:cs="Times New Roman"/>
            <w:i/>
            <w:iCs/>
            <w:noProof/>
          </w:rPr>
          <w:t>q</w:t>
        </w:r>
        <w:r w:rsidR="00E51477" w:rsidRPr="003819C7">
          <w:rPr>
            <w:rStyle w:val="Hyperlink"/>
            <w:rFonts w:cs="Times New Roman"/>
            <w:noProof/>
          </w:rPr>
          <w:t xml:space="preserve"> for either habitat or species.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_Toc164849250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122</w:t>
        </w:r>
        <w:r w:rsidR="00E51477" w:rsidRPr="003819C7">
          <w:rPr>
            <w:rFonts w:cs="Times New Roman"/>
            <w:noProof/>
            <w:webHidden/>
          </w:rPr>
          <w:fldChar w:fldCharType="end"/>
        </w:r>
      </w:hyperlink>
    </w:p>
    <w:p w14:paraId="3E91CDA7" w14:textId="77CA35A0"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1" w:history="1">
        <w:r w:rsidR="00E51477" w:rsidRPr="003819C7">
          <w:rPr>
            <w:rStyle w:val="Hyperlink"/>
            <w:rFonts w:cs="Times New Roman"/>
            <w:noProof/>
          </w:rPr>
          <w:t>Figure A3: Fluctuation of point biserial correlation coefficients (r</w:t>
        </w:r>
        <w:r w:rsidR="00E51477" w:rsidRPr="003819C7">
          <w:rPr>
            <w:rStyle w:val="Hyperlink"/>
            <w:rFonts w:cs="Times New Roman"/>
            <w:noProof/>
            <w:vertAlign w:val="subscript"/>
          </w:rPr>
          <w:t>pb</w:t>
        </w:r>
        <w:r w:rsidR="00E51477" w:rsidRPr="003819C7">
          <w:rPr>
            <w:rStyle w:val="Hyperlink"/>
            <w:rFonts w:cs="Times New Roman"/>
            <w:noProof/>
          </w:rPr>
          <w:t>) for 1000 rarefactions of the 21 sequence variants with an average r</w:t>
        </w:r>
        <w:r w:rsidR="00E51477" w:rsidRPr="003819C7">
          <w:rPr>
            <w:rStyle w:val="Hyperlink"/>
            <w:rFonts w:cs="Times New Roman"/>
            <w:noProof/>
            <w:vertAlign w:val="subscript"/>
          </w:rPr>
          <w:t>pb</w:t>
        </w:r>
        <w:r w:rsidR="00E51477" w:rsidRPr="003819C7">
          <w:rPr>
            <w:rStyle w:val="Hyperlink"/>
            <w:rFonts w:cs="Times New Roman"/>
            <w:noProof/>
          </w:rPr>
          <w:t xml:space="preserve"> &gt;.20. The top black line corresponds to the sequence variant belonging to the genus </w:t>
        </w:r>
        <w:r w:rsidR="00E51477" w:rsidRPr="003819C7">
          <w:rPr>
            <w:rStyle w:val="Hyperlink"/>
            <w:rFonts w:cs="Times New Roman"/>
            <w:i/>
            <w:iCs/>
            <w:noProof/>
          </w:rPr>
          <w:t>Stenotrophomonas</w:t>
        </w:r>
        <w:r w:rsidR="00E51477" w:rsidRPr="003819C7">
          <w:rPr>
            <w:rStyle w:val="Hyperlink"/>
            <w:rFonts w:cs="Times New Roman"/>
            <w:noProof/>
          </w:rPr>
          <w:t>.</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_Toc164849251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123</w:t>
        </w:r>
        <w:r w:rsidR="00E51477" w:rsidRPr="003819C7">
          <w:rPr>
            <w:rFonts w:cs="Times New Roman"/>
            <w:noProof/>
            <w:webHidden/>
          </w:rPr>
          <w:fldChar w:fldCharType="end"/>
        </w:r>
      </w:hyperlink>
    </w:p>
    <w:p w14:paraId="7A8B47BF" w14:textId="55EABE4D"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2" w:history="1">
        <w:r w:rsidR="00E51477" w:rsidRPr="003819C7">
          <w:rPr>
            <w:rStyle w:val="Hyperlink"/>
            <w:rFonts w:cs="Times New Roman"/>
            <w:noProof/>
          </w:rPr>
          <w:t>Figure A4: Facet plot of the 15 most abundant phyla in all sample types. Colors correspond to phylum.</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_Toc164849252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124</w:t>
        </w:r>
        <w:r w:rsidR="00E51477" w:rsidRPr="003819C7">
          <w:rPr>
            <w:rFonts w:cs="Times New Roman"/>
            <w:noProof/>
            <w:webHidden/>
          </w:rPr>
          <w:fldChar w:fldCharType="end"/>
        </w:r>
      </w:hyperlink>
    </w:p>
    <w:p w14:paraId="4C4C608C" w14:textId="16B6C917"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3" w:history="1">
        <w:r w:rsidR="00E51477" w:rsidRPr="003819C7">
          <w:rPr>
            <w:rStyle w:val="Hyperlink"/>
            <w:rFonts w:cs="Times New Roman"/>
            <w:noProof/>
          </w:rPr>
          <w:t>Figure A5: Twenty most abundant families found in sample types. Colors correspond to phylum.</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_Toc164849253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125</w:t>
        </w:r>
        <w:r w:rsidR="00E51477" w:rsidRPr="003819C7">
          <w:rPr>
            <w:rFonts w:cs="Times New Roman"/>
            <w:noProof/>
            <w:webHidden/>
          </w:rPr>
          <w:fldChar w:fldCharType="end"/>
        </w:r>
      </w:hyperlink>
    </w:p>
    <w:p w14:paraId="2920C5EF" w14:textId="185C31EB"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4" w:history="1">
        <w:r w:rsidR="00E51477" w:rsidRPr="003819C7">
          <w:rPr>
            <w:rStyle w:val="Hyperlink"/>
            <w:rFonts w:cs="Times New Roman"/>
            <w:noProof/>
          </w:rPr>
          <w:t>Figure A6: Unconstrained ordination of Horn and PhyloHorn dissimilarities between salamanders and cover objects, seasonally.</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_Toc164849254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131</w:t>
        </w:r>
        <w:r w:rsidR="00E51477" w:rsidRPr="003819C7">
          <w:rPr>
            <w:rFonts w:cs="Times New Roman"/>
            <w:noProof/>
            <w:webHidden/>
          </w:rPr>
          <w:fldChar w:fldCharType="end"/>
        </w:r>
      </w:hyperlink>
    </w:p>
    <w:p w14:paraId="69562AF4" w14:textId="5AC0B065"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5" w:history="1">
        <w:r w:rsidR="00E51477" w:rsidRPr="003819C7">
          <w:rPr>
            <w:rStyle w:val="Hyperlink"/>
            <w:rFonts w:cs="Times New Roman"/>
            <w:noProof/>
          </w:rPr>
          <w:t>Figure A7: Variance partitioning of the Horn dissimilarity for salamander-associated assemblages.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_Toc164849255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132</w:t>
        </w:r>
        <w:r w:rsidR="00E51477" w:rsidRPr="003819C7">
          <w:rPr>
            <w:rFonts w:cs="Times New Roman"/>
            <w:noProof/>
            <w:webHidden/>
          </w:rPr>
          <w:fldChar w:fldCharType="end"/>
        </w:r>
      </w:hyperlink>
    </w:p>
    <w:p w14:paraId="29BAB745" w14:textId="71BC8EBE"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6" w:history="1">
        <w:r w:rsidR="00E51477" w:rsidRPr="003819C7">
          <w:rPr>
            <w:rStyle w:val="Hyperlink"/>
            <w:rFonts w:cs="Times New Roman"/>
            <w:noProof/>
          </w:rPr>
          <w:t>Figure A8: Variance partitioning of the PhyloHorn dissimilarity for salamander-associated assemblages.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_Toc164849256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133</w:t>
        </w:r>
        <w:r w:rsidR="00E51477" w:rsidRPr="003819C7">
          <w:rPr>
            <w:rFonts w:cs="Times New Roman"/>
            <w:noProof/>
            <w:webHidden/>
          </w:rPr>
          <w:fldChar w:fldCharType="end"/>
        </w:r>
      </w:hyperlink>
    </w:p>
    <w:p w14:paraId="7B15A9BB" w14:textId="15C16D07"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7" w:history="1">
        <w:r w:rsidR="00E51477" w:rsidRPr="003819C7">
          <w:rPr>
            <w:rStyle w:val="Hyperlink"/>
            <w:rFonts w:cs="Times New Roman"/>
            <w:noProof/>
          </w:rPr>
          <w:t>Figure A9: Heatmap showing relative abundance of ‘common core’ OTUs during spring sampling. Highlighted families are families with common OTUs shared across all sampling seasons.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_Toc164849257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134</w:t>
        </w:r>
        <w:r w:rsidR="00E51477" w:rsidRPr="003819C7">
          <w:rPr>
            <w:rFonts w:cs="Times New Roman"/>
            <w:noProof/>
            <w:webHidden/>
          </w:rPr>
          <w:fldChar w:fldCharType="end"/>
        </w:r>
      </w:hyperlink>
    </w:p>
    <w:p w14:paraId="091D58B5" w14:textId="2E1D8F6A"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8" w:history="1">
        <w:r w:rsidR="00E51477" w:rsidRPr="003819C7">
          <w:rPr>
            <w:rStyle w:val="Hyperlink"/>
            <w:rFonts w:cs="Times New Roman"/>
            <w:noProof/>
          </w:rPr>
          <w:t>Figure A10: Heatmap showing relative abundance of ‘common core’ OTUs during our summer sampling. Highlighted families are families with common OTUs shared across all sampling seasons.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_Toc164849258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135</w:t>
        </w:r>
        <w:r w:rsidR="00E51477" w:rsidRPr="003819C7">
          <w:rPr>
            <w:rFonts w:cs="Times New Roman"/>
            <w:noProof/>
            <w:webHidden/>
          </w:rPr>
          <w:fldChar w:fldCharType="end"/>
        </w:r>
      </w:hyperlink>
    </w:p>
    <w:p w14:paraId="45E0CF47" w14:textId="6DC842B4"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59" w:history="1">
        <w:r w:rsidR="00E51477" w:rsidRPr="003819C7">
          <w:rPr>
            <w:rStyle w:val="Hyperlink"/>
            <w:rFonts w:cs="Times New Roman"/>
            <w:noProof/>
          </w:rPr>
          <w:t>Figure A11: Heatmap showing relative abundance of ‘common core’ OTUs during the fall sampling. Highlighted families are families with common OTUs shared across all sampling seasons.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_Toc164849259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136</w:t>
        </w:r>
        <w:r w:rsidR="00E51477" w:rsidRPr="003819C7">
          <w:rPr>
            <w:rFonts w:cs="Times New Roman"/>
            <w:noProof/>
            <w:webHidden/>
          </w:rPr>
          <w:fldChar w:fldCharType="end"/>
        </w:r>
      </w:hyperlink>
    </w:p>
    <w:p w14:paraId="5C7CA11F" w14:textId="30640217"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60" w:history="1">
        <w:r w:rsidR="00E51477" w:rsidRPr="003819C7">
          <w:rPr>
            <w:rStyle w:val="Hyperlink"/>
            <w:rFonts w:cs="Times New Roman"/>
            <w:noProof/>
          </w:rPr>
          <w:t>Figure A12: Heatmap showing relative abundance of ‘common core’ OTUs during our winter sampling. Highlighted families are families with common OTUs shared across all sampling seasons.</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_Toc164849260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137</w:t>
        </w:r>
        <w:r w:rsidR="00E51477" w:rsidRPr="003819C7">
          <w:rPr>
            <w:rFonts w:cs="Times New Roman"/>
            <w:noProof/>
            <w:webHidden/>
          </w:rPr>
          <w:fldChar w:fldCharType="end"/>
        </w:r>
      </w:hyperlink>
    </w:p>
    <w:p w14:paraId="343E034B" w14:textId="2C366A20" w:rsidR="00E51477" w:rsidRPr="003819C7" w:rsidRDefault="00000000" w:rsidP="00E51477">
      <w:pPr>
        <w:pStyle w:val="TableofFigures"/>
        <w:tabs>
          <w:tab w:val="right" w:leader="dot" w:pos="9350"/>
        </w:tabs>
        <w:spacing w:line="360" w:lineRule="auto"/>
        <w:rPr>
          <w:rFonts w:eastAsiaTheme="minorEastAsia" w:cs="Times New Roman"/>
          <w:noProof/>
          <w:kern w:val="2"/>
          <w14:ligatures w14:val="standardContextual"/>
        </w:rPr>
      </w:pPr>
      <w:hyperlink w:anchor="_Toc164849261" w:history="1">
        <w:r w:rsidR="00E51477" w:rsidRPr="003819C7">
          <w:rPr>
            <w:rStyle w:val="Hyperlink"/>
            <w:rFonts w:cs="Times New Roman"/>
            <w:noProof/>
          </w:rPr>
          <w:t>Figure A13: Heatmap of relative abundance of temporal core OTUs at each site.</w:t>
        </w:r>
        <w:r w:rsidR="00E51477" w:rsidRPr="003819C7">
          <w:rPr>
            <w:rFonts w:cs="Times New Roman"/>
            <w:noProof/>
            <w:webHidden/>
          </w:rPr>
          <w:tab/>
        </w:r>
        <w:r w:rsidR="00E51477" w:rsidRPr="003819C7">
          <w:rPr>
            <w:rFonts w:cs="Times New Roman"/>
            <w:noProof/>
            <w:webHidden/>
          </w:rPr>
          <w:fldChar w:fldCharType="begin"/>
        </w:r>
        <w:r w:rsidR="00E51477" w:rsidRPr="003819C7">
          <w:rPr>
            <w:rFonts w:cs="Times New Roman"/>
            <w:noProof/>
            <w:webHidden/>
          </w:rPr>
          <w:instrText xml:space="preserve"> PAGEREF _Toc164849261 \h </w:instrText>
        </w:r>
        <w:r w:rsidR="00E51477" w:rsidRPr="003819C7">
          <w:rPr>
            <w:rFonts w:cs="Times New Roman"/>
            <w:noProof/>
            <w:webHidden/>
          </w:rPr>
        </w:r>
        <w:r w:rsidR="00E51477" w:rsidRPr="003819C7">
          <w:rPr>
            <w:rFonts w:cs="Times New Roman"/>
            <w:noProof/>
            <w:webHidden/>
          </w:rPr>
          <w:fldChar w:fldCharType="separate"/>
        </w:r>
        <w:r w:rsidR="001648DD">
          <w:rPr>
            <w:rFonts w:cs="Times New Roman"/>
            <w:noProof/>
            <w:webHidden/>
          </w:rPr>
          <w:t>138</w:t>
        </w:r>
        <w:r w:rsidR="00E51477" w:rsidRPr="003819C7">
          <w:rPr>
            <w:rFonts w:cs="Times New Roman"/>
            <w:noProof/>
            <w:webHidden/>
          </w:rPr>
          <w:fldChar w:fldCharType="end"/>
        </w:r>
      </w:hyperlink>
    </w:p>
    <w:p w14:paraId="3F139D13" w14:textId="4A1136B4" w:rsidR="00E51477" w:rsidRPr="00E51477" w:rsidRDefault="00E51477" w:rsidP="00E51477">
      <w:pPr>
        <w:spacing w:line="360" w:lineRule="auto"/>
        <w:rPr>
          <w:rFonts w:eastAsiaTheme="minorEastAsia"/>
          <w:noProof/>
        </w:rPr>
      </w:pPr>
      <w:r w:rsidRPr="003819C7">
        <w:rPr>
          <w:rFonts w:ascii="Times New Roman" w:hAnsi="Times New Roman" w:cs="Times New Roman"/>
          <w:noProof/>
        </w:rPr>
        <w:fldChar w:fldCharType="end"/>
      </w:r>
    </w:p>
    <w:p w14:paraId="683D7C05" w14:textId="1DDF85A0" w:rsidR="00387656" w:rsidRPr="00FA3521" w:rsidRDefault="00491D83" w:rsidP="00387656">
      <w:pPr>
        <w:pStyle w:val="Title"/>
        <w:rPr>
          <w:rFonts w:ascii="Times New Roman" w:hAnsi="Times New Roman" w:cs="Times New Roman"/>
          <w:b w:val="0"/>
          <w:sz w:val="24"/>
        </w:rPr>
      </w:pPr>
      <w:r>
        <w:rPr>
          <w:rFonts w:ascii="Times New Roman" w:hAnsi="Times New Roman" w:cs="Times New Roman"/>
          <w:b w:val="0"/>
          <w:smallCaps/>
          <w:sz w:val="20"/>
          <w:szCs w:val="20"/>
          <w:lang w:val="en-US"/>
        </w:rPr>
        <w:fldChar w:fldCharType="end"/>
      </w:r>
      <w:r w:rsidR="00387656" w:rsidRPr="00FA3521">
        <w:rPr>
          <w:rFonts w:ascii="Times New Roman" w:hAnsi="Times New Roman" w:cs="Times New Roman"/>
          <w:b w:val="0"/>
          <w:sz w:val="24"/>
        </w:rPr>
        <w:t xml:space="preserve"> </w:t>
      </w:r>
    </w:p>
    <w:p w14:paraId="19CBAB21" w14:textId="77777777" w:rsidR="003C1575" w:rsidRPr="00DF7C87" w:rsidRDefault="003C1575" w:rsidP="005E54E2">
      <w:pPr>
        <w:rPr>
          <w:rFonts w:ascii="Times New Roman" w:hAnsi="Times New Roman" w:cs="Times New Roman"/>
        </w:rPr>
      </w:pPr>
    </w:p>
    <w:p w14:paraId="3570C643" w14:textId="77777777" w:rsidR="0085757D" w:rsidRPr="00DF7C87" w:rsidRDefault="0085757D" w:rsidP="005E54E2">
      <w:pPr>
        <w:rPr>
          <w:rFonts w:ascii="Times New Roman" w:hAnsi="Times New Roman" w:cs="Times New Roman"/>
        </w:rPr>
      </w:pPr>
    </w:p>
    <w:p w14:paraId="4272D7CC" w14:textId="77777777" w:rsidR="0085757D" w:rsidRPr="00DF7C87" w:rsidRDefault="0085757D" w:rsidP="005E54E2">
      <w:pPr>
        <w:rPr>
          <w:rFonts w:ascii="Times New Roman" w:hAnsi="Times New Roman" w:cs="Times New Roman"/>
        </w:rPr>
      </w:pPr>
    </w:p>
    <w:p w14:paraId="4ACD96AF" w14:textId="77777777" w:rsidR="0085757D" w:rsidRPr="00DF7C87" w:rsidRDefault="0085757D" w:rsidP="005E54E2">
      <w:pPr>
        <w:rPr>
          <w:rFonts w:ascii="Times New Roman" w:hAnsi="Times New Roman" w:cs="Times New Roman"/>
        </w:rPr>
      </w:pPr>
    </w:p>
    <w:p w14:paraId="4C1A8ECA" w14:textId="77777777" w:rsidR="0085757D" w:rsidRPr="00DF7C87" w:rsidRDefault="0085757D" w:rsidP="005E54E2">
      <w:pPr>
        <w:rPr>
          <w:rFonts w:ascii="Times New Roman" w:hAnsi="Times New Roman" w:cs="Times New Roman"/>
        </w:rPr>
      </w:pPr>
    </w:p>
    <w:p w14:paraId="31E4C5B5" w14:textId="77777777" w:rsidR="0085757D" w:rsidRPr="00DF7C87" w:rsidRDefault="0085757D" w:rsidP="005E54E2">
      <w:pPr>
        <w:rPr>
          <w:rFonts w:ascii="Times New Roman" w:hAnsi="Times New Roman" w:cs="Times New Roman"/>
        </w:rPr>
        <w:sectPr w:rsidR="0085757D" w:rsidRPr="00DF7C87" w:rsidSect="00457804">
          <w:footerReference w:type="even" r:id="rId8"/>
          <w:footerReference w:type="default" r:id="rId9"/>
          <w:pgSz w:w="12240" w:h="15840" w:code="1"/>
          <w:pgMar w:top="1440" w:right="1440" w:bottom="1440" w:left="1440" w:header="720" w:footer="1440" w:gutter="0"/>
          <w:pgNumType w:fmt="lowerRoman" w:start="1"/>
          <w:cols w:space="720"/>
          <w:noEndnote/>
          <w:titlePg/>
          <w:docGrid w:linePitch="326"/>
        </w:sectPr>
      </w:pPr>
    </w:p>
    <w:p w14:paraId="308180EE" w14:textId="77777777" w:rsidR="004C2071" w:rsidRPr="00DF7C87" w:rsidRDefault="00526151" w:rsidP="005E54E2">
      <w:pPr>
        <w:pStyle w:val="Heading1"/>
        <w:rPr>
          <w:rFonts w:ascii="Times New Roman" w:hAnsi="Times New Roman" w:cs="Times New Roman"/>
          <w:szCs w:val="28"/>
        </w:rPr>
      </w:pPr>
      <w:bookmarkStart w:id="0" w:name="_Toc289175819"/>
      <w:bookmarkStart w:id="1" w:name="_Toc165028040"/>
      <w:r w:rsidRPr="00DF7C87">
        <w:rPr>
          <w:rFonts w:ascii="Times New Roman" w:hAnsi="Times New Roman" w:cs="Times New Roman"/>
          <w:szCs w:val="28"/>
        </w:rPr>
        <w:lastRenderedPageBreak/>
        <w:t>INTRODUCTION</w:t>
      </w:r>
      <w:bookmarkEnd w:id="0"/>
      <w:bookmarkEnd w:id="1"/>
      <w:r w:rsidR="00EE334C" w:rsidRPr="00DF7C87">
        <w:rPr>
          <w:rFonts w:ascii="Times New Roman" w:hAnsi="Times New Roman" w:cs="Times New Roman"/>
          <w:szCs w:val="28"/>
        </w:rPr>
        <w:t xml:space="preserve"> </w:t>
      </w:r>
    </w:p>
    <w:p w14:paraId="733BEB92" w14:textId="77777777" w:rsidR="00236E6D" w:rsidRPr="00DF7C87" w:rsidRDefault="00236E6D" w:rsidP="005E54E2">
      <w:pPr>
        <w:rPr>
          <w:rFonts w:ascii="Times New Roman" w:hAnsi="Times New Roman" w:cs="Times New Roman"/>
        </w:rPr>
      </w:pPr>
    </w:p>
    <w:p w14:paraId="67ECFF2E" w14:textId="68ADA5BC" w:rsidR="007C7BE3" w:rsidRPr="00AE0227" w:rsidRDefault="00D52691" w:rsidP="007C7BE3">
      <w:pPr>
        <w:pStyle w:val="Heading2"/>
        <w:rPr>
          <w:rFonts w:ascii="Times New Roman" w:hAnsi="Times New Roman" w:cs="Times New Roman"/>
        </w:rPr>
      </w:pPr>
      <w:bookmarkStart w:id="2" w:name="_Toc165028041"/>
      <w:r w:rsidRPr="00AE0227">
        <w:rPr>
          <w:rFonts w:ascii="Times New Roman" w:hAnsi="Times New Roman" w:cs="Times New Roman"/>
        </w:rPr>
        <w:t>Symbiosis</w:t>
      </w:r>
      <w:bookmarkEnd w:id="2"/>
    </w:p>
    <w:p w14:paraId="0A068658" w14:textId="65990C05" w:rsidR="007C7BE3" w:rsidRPr="00553649" w:rsidRDefault="007C7BE3" w:rsidP="007C7BE3">
      <w:pPr>
        <w:spacing w:line="360" w:lineRule="auto"/>
        <w:ind w:firstLine="720"/>
        <w:rPr>
          <w:rFonts w:ascii="Times New Roman" w:hAnsi="Times New Roman" w:cs="Times New Roman"/>
        </w:rPr>
      </w:pPr>
      <w:r w:rsidRPr="00553649">
        <w:rPr>
          <w:rFonts w:ascii="Times New Roman" w:hAnsi="Times New Roman" w:cs="Times New Roman"/>
        </w:rPr>
        <w:t xml:space="preserve">The term symbiosis, originally coined by Albert Bernhard Frank in 1877, refers to ‘the living together of unlike named organisms’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{"citationID":"KW46Ltzd","properties":{"formattedCitation":"(Sapp, 1994)","plainCitation":"(Sapp, 1994)","noteIndex":0},"citationItems":[{"id":417,"uris":["http://zotero.org/users/6401767/items/QJ9E849F"],"itemData":{"id":417,"type":"book","abstract":"In this comprehensive history of symbiosis theory--the first to be written--Jan Sapp masterfully traces its development from modest beginnings in the late nineteenth century to its current status as one of the key conceptual frameworks for the life sciences. The symbiotic perspective on evolution, which argues that \"higher species\" have evolved from a merger of two or more different kinds of organisms living together, is now clearly established with definitive molecular evidence demonstrating that mitochondria and chloroplasts have evolved from symbiotic bacteria. In telling the exciting story of an evolutionary biology tradition that has effectively challenged many key tenets of classical neo-Darwinism, Sapp sheds light on the phenomena, movements, doctrines, and controversies that have shaped attitudes about the scope and significance of symbiosis. Engaging and insightful, Evolution by Association will be avidly read by students and researchers across the life sciences.","ISBN":"978-0-19-535853-7","language":"en","note":"Google-Books-ID: wEo1QUkr7pUC","number-of-pages":"272","publisher":"Oxford University Press","source":"Google Books","title":"Evolution by Association: A History of Symbiosis","title-short":"Evolution by Association","author":[{"family":"Sapp","given":"Jan"}],"issued":{"date-parts":[["1994",9,15]]}}}],"schema":"https://github.com/citation-style-language/schema/raw/master/csl-citation.json"}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(Sapp, 1994)</w:t>
      </w:r>
      <w:r w:rsidRPr="00553649">
        <w:rPr>
          <w:rFonts w:ascii="Times New Roman" w:hAnsi="Times New Roman" w:cs="Times New Roman"/>
        </w:rPr>
        <w:fldChar w:fldCharType="end"/>
      </w:r>
      <w:r w:rsidRPr="00553649">
        <w:rPr>
          <w:rFonts w:ascii="Times New Roman" w:hAnsi="Times New Roman" w:cs="Times New Roman"/>
        </w:rPr>
        <w:t xml:space="preserve">. Anton de Bary extended this definition </w:t>
      </w:r>
      <w:r w:rsidR="00B803B1" w:rsidRPr="00553649">
        <w:rPr>
          <w:rFonts w:ascii="Times New Roman" w:hAnsi="Times New Roman" w:cs="Times New Roman"/>
        </w:rPr>
        <w:t xml:space="preserve">in 1879 </w:t>
      </w:r>
      <w:r w:rsidRPr="00553649">
        <w:rPr>
          <w:rFonts w:ascii="Times New Roman" w:hAnsi="Times New Roman" w:cs="Times New Roman"/>
        </w:rPr>
        <w:t>to describe associations between unlike species living together in physical contact</w:t>
      </w:r>
      <w:r w:rsidR="00060C8E" w:rsidRPr="00553649">
        <w:rPr>
          <w:rFonts w:ascii="Times New Roman" w:hAnsi="Times New Roman" w:cs="Times New Roman"/>
        </w:rPr>
        <w:t xml:space="preserve"> </w:t>
      </w:r>
      <w:r w:rsidR="00060C8E"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{"citationID":"mWxQy5rS","properties":{"formattedCitation":"(Sapp, 1994)","plainCitation":"(Sapp, 1994)","noteIndex":0},"citationItems":[{"id":417,"uris":["http://zotero.org/users/6401767/items/QJ9E849F"],"itemData":{"id":417,"type":"book","abstract":"In this comprehensive history of symbiosis theory--the first to be written--Jan Sapp masterfully traces its development from modest beginnings in the late nineteenth century to its current status as one of the key conceptual frameworks for the life sciences. The symbiotic perspective on evolution, which argues that \"higher species\" have evolved from a merger of two or more different kinds of organisms living together, is now clearly established with definitive molecular evidence demonstrating that mitochondria and chloroplasts have evolved from symbiotic bacteria. In telling the exciting story of an evolutionary biology tradition that has effectively challenged many key tenets of classical neo-Darwinism, Sapp sheds light on the phenomena, movements, doctrines, and controversies that have shaped attitudes about the scope and significance of symbiosis. Engaging and insightful, Evolution by Association will be avidly read by students and researchers across the life sciences.","ISBN":"978-0-19-535853-7","language":"en","note":"Google-Books-ID: wEo1QUkr7pUC","number-of-pages":"272","publisher":"Oxford University Press","source":"Google Books","title":"Evolution by Association: A History of Symbiosis","title-short":"Evolution by Association","author":[{"family":"Sapp","given":"Jan"}],"issued":{"date-parts":[["1994",9,15]]}}}],"schema":"https://github.com/citation-style-language/schema/raw/master/csl-citation.json"} </w:instrText>
      </w:r>
      <w:r w:rsidR="00060C8E" w:rsidRPr="00553649">
        <w:rPr>
          <w:rFonts w:ascii="Times New Roman" w:hAnsi="Times New Roman" w:cs="Times New Roman"/>
        </w:rPr>
        <w:fldChar w:fldCharType="separate"/>
      </w:r>
      <w:r w:rsidR="004D2321">
        <w:rPr>
          <w:rFonts w:ascii="Times New Roman" w:hAnsi="Times New Roman" w:cs="Times New Roman"/>
          <w:noProof/>
        </w:rPr>
        <w:t>(Sapp, 1994)</w:t>
      </w:r>
      <w:r w:rsidR="00060C8E" w:rsidRPr="00553649">
        <w:rPr>
          <w:rFonts w:ascii="Times New Roman" w:hAnsi="Times New Roman" w:cs="Times New Roman"/>
        </w:rPr>
        <w:fldChar w:fldCharType="end"/>
      </w:r>
      <w:r w:rsidRPr="00553649">
        <w:rPr>
          <w:rFonts w:ascii="Times New Roman" w:hAnsi="Times New Roman" w:cs="Times New Roman"/>
        </w:rPr>
        <w:t xml:space="preserve">. Though initially intended specifically for outcome-independent associations, confusion over terminology has since blurred the definition, with symbiosis often conflated with mutualisms (outcome-dependent positive benefits for both parties)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{"citationID":"9rYGw7jR","properties":{"formattedCitation":"(A. E. Douglas, 2021; Saffo, 1992)","plainCitation":"(A. E. Douglas, 2021; Saffo, 1992)","noteIndex":0},"citationItems":[{"id":377,"uris":["http://zotero.org/users/6401767/items/V7JWL275"],"itemData":{"id":377,"type":"book","abstract":"Throughout the natural world, organisms have responded to predators, inadequate resources, or inclement conditions by forming ongoing mutually beneficial partnerships--or symbioses--with different species. Symbiosis is the foundation for major evolutionary events, such as the emergence of eukaryotes and plant eating among vertebrates, and is also a crucial factor in shaping many ecological communities. The Symbiotic Habit provides an accessible and authoritative introduction to symbiosis, describing how symbioses are established, function, and persist in evolutionary and ecological time. Angela Douglas explains the evolutionary origins and development of symbiosis, and illustrates the principles of symbiosis using a variety of examples of symbiotic relationships as well as nonsymbiotic ones, such as parasitic or fleeting mutualistic associations. Although the reciprocal exchange of benefit is the key feature of symbioses, the benefits are often costly to provide, causing conflict among the partners. Douglas shows how these conflicts can be managed by a single controlling organism that may selectively reward cooperative partners, control partner transmission, and employ recognition mechanisms that discriminate between beneficial and potentially harmful or ineffective partners.The Symbiotic Habit reveals the broad uniformity of symbiotic process across many different symbioses among organisms with diverse evolutionary histories, and demonstrates how symbioses can be used to manage ecosystems, enhance food production, and promote human health.","ISBN":"978-1-4008-3543-0","language":"en","note":"Google-Books-ID: gaAG1I50OkAC","number-of-pages":"216","publisher":"Princeton University Press","source":"Google Books","title":"The Symbiotic Habit","author":[{"family":"Douglas","given":"Angela E."}],"issued":{"date-parts":[["2021",8,10]]}}},{"id":367,"uris":["http://zotero.org/users/6401767/items/E6SYRFS8"],"itemData":{"id":367,"type":"article-journal","abstract":"More than a century after de Bary (1879) adopted the term symbiosis, biologists still disagree about the word's meaning. Many researchers define symbiosis in the senseof de Bary, as an intimate, outcome-independent interaction between species; others use symbiosis as a synonym for mutualistic or non-parasitic associations. This varied usage arises in part from the absence of a language for describing both symbiotic and non-symbiotic mutualistic interactions; the complexity of many \"mutualistic\" endosymbiosesposes a particular descriptive difficulty. Expropriation of \"symbiosis\" to identify these mutualistic associations is an understandable, but ultimately confusing, and conceptually limiting solution to this problem. Retention of the broad, outcome-independent sense of symbiosis is urged. Alternate terms, including chronic endosymbiosis, are proposed for apparently benign symbioses which are too poorly known, or too complex, to categorize comfortably as \"mutualistic.\" In addition to outcome-independent investigations of symbiotic phenomena, questions of the evolutionary significance of symbioses are difficult, but important problems. Thus, terms which address particular outcomes for host or symbiont - e.g., parasitism, commensalism and mutualism, \"costs,\" \"benefits,\" fitness, and related terms - also have a place in the language of symbiosis research.","container-title":"Symbiosis","language":"en","page":"17-31","source":"Zotero","title":"Coming to Terms with a Field: Words and Concepts in Symbiosis","volume":"14","author":[{"family":"Saffo","given":"Mary Beth"}],"issued":{"date-parts":[["1992"]]}}}],"schema":"https://github.com/citation-style-language/schema/raw/master/csl-citation.json"}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(A. E. Douglas, 2021; Saffo, 1992)</w:t>
      </w:r>
      <w:r w:rsidRPr="00553649">
        <w:rPr>
          <w:rFonts w:ascii="Times New Roman" w:hAnsi="Times New Roman" w:cs="Times New Roman"/>
        </w:rPr>
        <w:fldChar w:fldCharType="end"/>
      </w:r>
      <w:r w:rsidRPr="00553649">
        <w:rPr>
          <w:rFonts w:ascii="Times New Roman" w:hAnsi="Times New Roman" w:cs="Times New Roman"/>
        </w:rPr>
        <w:t xml:space="preserve">. Some have argued </w:t>
      </w:r>
      <w:r w:rsidR="003A2075">
        <w:rPr>
          <w:rFonts w:ascii="Times New Roman" w:hAnsi="Times New Roman" w:cs="Times New Roman"/>
        </w:rPr>
        <w:t>an outcome-independent</w:t>
      </w:r>
      <w:r w:rsidRPr="00553649">
        <w:rPr>
          <w:rFonts w:ascii="Times New Roman" w:hAnsi="Times New Roman" w:cs="Times New Roman"/>
        </w:rPr>
        <w:t xml:space="preserve"> definition of symbiosis is ‘too broad to be useful’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{"citationID":"lBASiaYe","properties":{"formattedCitation":"(D. C. Smith, 1992)","plainCitation":"(D. C. Smith, 1992)","noteIndex":0},"citationItems":[{"id":366,"uris":["http://zotero.org/users/6401767/items/XAKL44VS"],"itemData":{"id":366,"type":"article-journal","container-title":"Symbiosis","page":"3-15","title":"The Symbiotic Condition","volume":"14","author":[{"family":"Smith","given":"D.C"}],"issued":{"date-parts":[["1992"]]}}}],"schema":"https://github.com/citation-style-language/schema/raw/master/csl-citation.json"}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 C. Smith, 1992)</w:t>
      </w:r>
      <w:r w:rsidRPr="00553649">
        <w:rPr>
          <w:rFonts w:ascii="Times New Roman" w:hAnsi="Times New Roman" w:cs="Times New Roman"/>
        </w:rPr>
        <w:fldChar w:fldCharType="end"/>
      </w:r>
      <w:r w:rsidRPr="00553649">
        <w:rPr>
          <w:rFonts w:ascii="Times New Roman" w:hAnsi="Times New Roman" w:cs="Times New Roman"/>
        </w:rPr>
        <w:t xml:space="preserve"> since defining criteria for ‘intimacy’ is sufficiently vague and rarely agreed upon by biologists. </w:t>
      </w:r>
      <w:r w:rsidR="003A2075">
        <w:rPr>
          <w:rFonts w:ascii="Times New Roman" w:hAnsi="Times New Roman" w:cs="Times New Roman"/>
        </w:rPr>
        <w:t>However, the</w:t>
      </w:r>
      <w:r w:rsidRPr="00553649">
        <w:rPr>
          <w:rFonts w:ascii="Times New Roman" w:hAnsi="Times New Roman" w:cs="Times New Roman"/>
        </w:rPr>
        <w:t xml:space="preserve"> broad definition, as originally intended, offers the benefit of flexibility given evolutionary consequences are often unknown, and the associations are often dynamic and difficult to distinguish. Empirical evidence over the last 150 years has confirmed the ubiquity of symbiotic associations in ecology and evolutionary biology, making symbiosis a pertinent concept for understanding inter-specific associations contributing to physiology, reproduction, ecosystem function, and natural selection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{"citationID":"p6zxYoea","properties":{"formattedCitation":"(Margulis &amp; Fester, 1991; Peacock, 2011)","plainCitation":"(Margulis &amp; Fester, 1991; Peacock, 2011)","noteIndex":0},"citationItems":[{"id":416,"uris":["http://zotero.org/users/6401767/items/BSDV4L9U"],"itemData":{"id":416,"type":"paper-conference","abstract":"A departure from mainstream biology, the idea of symbiosis - as in the genetic and metabolic interactions of the bacterial communities that became the earliest eukaryotes and eventually evolved into plants and animals - has attracted the attention of a growing number of scientists.These original contributions by symbiosis biologists and evolutionary theorists address the adequacy of the prevailing neo-Darwinian concept of evolution in the light of growing evidence that hereditary symbiosis, supplemented by the gradual accumulation of heritable mutation, results in the origin of new species and morphological novelty. They include reports of current research on the evolutionary consequences of symbiosis, the protracted physical association between organisms of different species. Among the issues considered are individuality and evolution, microbial symbioses, animal bacterial symbioses, and the importance of symbiosis in cell evolution, ecology, and morphogenesis.Lynn Margulis, Distinguished Professor of Botany at the University of Massachusetts at Amherst, is the modern originator of the symbiotic theory of cell evolution. Once considered heresy, her ideas are now part of the microbiological revolution. Rene Fester is a graduate student in the biological sciences at Northern Arizona University.Contributors: Peter Atsatt. Richard C. Back. David Bermudes. Paola Bonfante-Fasolo. Rene Fester. Lynda J. Goff. Anne-Marie Grenier. Ricardo Guerrero. Robert H. Haynes. Rosmarie Honegger. Gregory Hinkle. Kwang W. Jeon. Bryce Kendrick. Richard Law. David Lewis. Lynn Margulis. John Maynard Smith. Margaret J. McFall-Ngai. Paul Nardon. Kenneth H. Nealson. Kris Pirozynski. Peter W. Price. Mary Beth Saffo. Jan Sapp. Silvano Scannerini. Werner Schwemmler. Sorin Sonea. Toomas H. Tiivel. Robert K. Trench. Russell Vetter.","source":"Semantic Scholar","title":"Symbiosis as a source of evolutionary innovation : speciation and morphogenesis","title-short":"Symbiosis as a source of evolutionary innovation","URL":"https://www.semanticscholar.org/paper/Symbiosis-as-a-source-of-evolutionary-innovation-%3A-Margulis-Fester/56f5c3b91ad5c3c44273f7e41bdbcf6a5cc25402","author":[{"family":"Margulis","given":"L."},{"family":"Fester","given":"R."}],"accessed":{"date-parts":[["2023",6,18]]},"issued":{"date-parts":[["1991"]]}}},{"id":47,"uris":["http://zotero.org/users/6401767/items/KM4T5PEW"],"itemData":{"id":47,"type":"chapter","container-title":"Philosophy of Ecology","ISBN":"978-0-444-51673-2","language":"en","note":"DOI: 10.1016/B978-0-444-51673-2.50009-1","page":"219-250","publisher":"Elsevier","source":"DOI.org (Crossref)","title":"Symbiosis in Ecology and Evolution","URL":"https://linkinghub.elsevier.com/retrieve/pii/B9780444516732500091","author":[{"family":"Peacock","given":"Kent A."}],"accessed":{"date-parts":[["2023",6,14]]},"issued":{"date-parts":[["2011"]]}}}],"schema":"https://github.com/citation-style-language/schema/raw/master/csl-citation.json"}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(Margulis &amp; Fester, 1991; Peacock, 2011)</w:t>
      </w:r>
      <w:r w:rsidRPr="00553649">
        <w:rPr>
          <w:rFonts w:ascii="Times New Roman" w:hAnsi="Times New Roman" w:cs="Times New Roman"/>
        </w:rPr>
        <w:fldChar w:fldCharType="end"/>
      </w:r>
      <w:r w:rsidRPr="00553649">
        <w:rPr>
          <w:rFonts w:ascii="Times New Roman" w:hAnsi="Times New Roman" w:cs="Times New Roman"/>
        </w:rPr>
        <w:t xml:space="preserve">. </w:t>
      </w:r>
    </w:p>
    <w:p w14:paraId="375C9065" w14:textId="6CA87AF2" w:rsidR="007C7BE3" w:rsidRPr="00553649" w:rsidRDefault="007C7BE3" w:rsidP="00077892">
      <w:pPr>
        <w:spacing w:line="360" w:lineRule="auto"/>
        <w:ind w:firstLine="720"/>
        <w:rPr>
          <w:rFonts w:ascii="Times New Roman" w:hAnsi="Times New Roman" w:cs="Times New Roman"/>
        </w:rPr>
      </w:pPr>
      <w:r w:rsidRPr="00553649">
        <w:rPr>
          <w:rFonts w:ascii="Times New Roman" w:hAnsi="Times New Roman" w:cs="Times New Roman"/>
        </w:rPr>
        <w:t xml:space="preserve">Host-associated symbiotic associations are </w:t>
      </w:r>
      <w:r w:rsidR="00B77B63" w:rsidRPr="00553649">
        <w:rPr>
          <w:rFonts w:ascii="Times New Roman" w:hAnsi="Times New Roman" w:cs="Times New Roman"/>
        </w:rPr>
        <w:t>often</w:t>
      </w:r>
      <w:r w:rsidRPr="00553649">
        <w:rPr>
          <w:rFonts w:ascii="Times New Roman" w:hAnsi="Times New Roman" w:cs="Times New Roman"/>
        </w:rPr>
        <w:t xml:space="preserve"> studied in the context of </w:t>
      </w:r>
      <w:r w:rsidR="003342A8">
        <w:rPr>
          <w:rFonts w:ascii="Times New Roman" w:hAnsi="Times New Roman" w:cs="Times New Roman"/>
        </w:rPr>
        <w:t xml:space="preserve">multicellular </w:t>
      </w:r>
      <w:r w:rsidRPr="00553649">
        <w:rPr>
          <w:rFonts w:ascii="Times New Roman" w:hAnsi="Times New Roman" w:cs="Times New Roman"/>
        </w:rPr>
        <w:t xml:space="preserve">hosts and prokaryotic, fungal, or unicellular symbionts that exist on a dynamic spectrum from pathogenic to mutualistic. Transmission of these symbionts can be either vertical (inherited from a parent) or </w:t>
      </w:r>
      <w:r w:rsidR="003342A8">
        <w:rPr>
          <w:rFonts w:ascii="Times New Roman" w:hAnsi="Times New Roman" w:cs="Times New Roman"/>
        </w:rPr>
        <w:t xml:space="preserve">horizontal, with horizontal transmission being either abiotic (from other hosts) or </w:t>
      </w:r>
      <w:r w:rsidRPr="00553649">
        <w:rPr>
          <w:rFonts w:ascii="Times New Roman" w:hAnsi="Times New Roman" w:cs="Times New Roman"/>
        </w:rPr>
        <w:t xml:space="preserve">environmental (acquired from external reservoirs). Endosymbionts have been particularly valuable in understanding the evolutionary consequences and mechanisms of symbiosis, with vertically transmitted </w:t>
      </w:r>
      <w:proofErr w:type="spellStart"/>
      <w:r w:rsidRPr="00553649">
        <w:rPr>
          <w:rFonts w:ascii="Times New Roman" w:hAnsi="Times New Roman" w:cs="Times New Roman"/>
        </w:rPr>
        <w:t>endocellular</w:t>
      </w:r>
      <w:proofErr w:type="spellEnd"/>
      <w:r w:rsidRPr="00553649">
        <w:rPr>
          <w:rFonts w:ascii="Times New Roman" w:hAnsi="Times New Roman" w:cs="Times New Roman"/>
        </w:rPr>
        <w:t xml:space="preserve"> mutualists engaging in reciprocal, coordinated changes to facilitate cooperation for long periods of time (e.g. </w:t>
      </w:r>
      <w:proofErr w:type="spellStart"/>
      <w:r w:rsidRPr="00553649">
        <w:rPr>
          <w:rFonts w:ascii="Times New Roman" w:hAnsi="Times New Roman" w:cs="Times New Roman"/>
          <w:i/>
          <w:iCs/>
        </w:rPr>
        <w:t>Buchnera</w:t>
      </w:r>
      <w:proofErr w:type="spellEnd"/>
      <w:r w:rsidRPr="00553649">
        <w:rPr>
          <w:rFonts w:ascii="Times New Roman" w:hAnsi="Times New Roman" w:cs="Times New Roman"/>
          <w:i/>
          <w:iCs/>
        </w:rPr>
        <w:t xml:space="preserve"> </w:t>
      </w:r>
      <w:r w:rsidRPr="00553649">
        <w:rPr>
          <w:rFonts w:ascii="Times New Roman" w:hAnsi="Times New Roman" w:cs="Times New Roman"/>
        </w:rPr>
        <w:t xml:space="preserve">and </w:t>
      </w:r>
      <w:r w:rsidR="00A90FB9">
        <w:rPr>
          <w:rFonts w:ascii="Times New Roman" w:hAnsi="Times New Roman" w:cs="Times New Roman"/>
        </w:rPr>
        <w:t xml:space="preserve">the </w:t>
      </w:r>
      <w:r w:rsidR="003A3FFD" w:rsidRPr="003A3FFD">
        <w:rPr>
          <w:rFonts w:ascii="Times New Roman" w:hAnsi="Times New Roman" w:cs="Times New Roman"/>
        </w:rPr>
        <w:t>p</w:t>
      </w:r>
      <w:r w:rsidRPr="003A3FFD">
        <w:rPr>
          <w:rFonts w:ascii="Times New Roman" w:hAnsi="Times New Roman" w:cs="Times New Roman"/>
        </w:rPr>
        <w:t xml:space="preserve">ea </w:t>
      </w:r>
      <w:r w:rsidR="003A3FFD" w:rsidRPr="003A3FFD">
        <w:rPr>
          <w:rFonts w:ascii="Times New Roman" w:hAnsi="Times New Roman" w:cs="Times New Roman"/>
        </w:rPr>
        <w:t>a</w:t>
      </w:r>
      <w:r w:rsidRPr="003A3FFD">
        <w:rPr>
          <w:rFonts w:ascii="Times New Roman" w:hAnsi="Times New Roman" w:cs="Times New Roman"/>
        </w:rPr>
        <w:t>phid</w:t>
      </w:r>
      <w:r w:rsidRPr="00553649">
        <w:rPr>
          <w:rFonts w:ascii="Times New Roman" w:hAnsi="Times New Roman" w:cs="Times New Roman"/>
        </w:rPr>
        <w:t xml:space="preserve">, 160 million years) </w:t>
      </w:r>
      <w:r w:rsidR="007F6977"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{"citationID":"a20kisk13sq","properties":{"formattedCitation":"(Hansen &amp; Moran, 2011; Moran &amp; Degnan, 2006)","plainCitation":"(Hansen &amp; Moran, 2011; Moran &amp; Degnan, 2006)","noteIndex":0},"citationItems":[{"id":507,"uris":["http://zotero.org/users/6401767/items/2J6J7272"],"itemData":{"id":507,"type":"article-journal","abstract":"The evolution of intimate symbiosis requires the coordination of gene expression and content between the distinct partner genomes; this coordination allows the fusion of capabilities of each organism into a single integrated metabolism. In aphids, the 10 essential amino acids are scarce in the phloem sap diet and are supplied by the obligate bacterial endosymbiont (Buchnera), which lives inside specialized cells called bacteriocytes. Although Buchnera’s genome encodes most genes for essential amino acid biosynthesis, several genes in essential amino acid pathways are missing, as are most genes for production of nonessential amino acids. Additionally, it is unresolved whether the supply of nitrogen for amino acid biosynthesis is supplemented by recycling of waste ammonia. We compared pea aphid gene expression between bacteriocytes and other body tissues using RNA sequencing and pathway analysis and exploiting the genome sequences available for both partners. We found that 26 genes underlying amino acid biosynthesis were up-regulated in bacteriocytes. Seven of these up-regulated genes fill the gaps of Buchnera’s essential amino acid pathways. In addition, genes underlying five nonessential amino acid pathways lost from Buchnera are up-regulated in bacteriocytes. Finally, our results reveal that two genes, glutamine synthetase and glutamate synthase, which potentially work together in the incorporation of ammonium nitrogen into glutamate (GOGAT) cycle to assimilate ammonia into glutamate, are up-regulated in bacteriocytes. Thus, host gene expression and symbiont capabilities are closely integrated within bacteriocytes, which function as specialized organs of amino acid production. Furthermore, the GOGAT cycle may be a key source of nitrogen fueling the integrated amino acid metabolism of the aphid–Buchnera partnership.","container-title":"Proceedings of the National Academy of Sciences","DOI":"10.1073/pnas.1013465108","ISSN":"0027-8424, 1091-6490","issue":"7","journalAbbreviation":"PNAS","language":"en","note":"publisher: National Academy of Sciences\nsection: Biological Sciences\nPMID: 21282658","page":"2849-2854","source":"www.pnas.org","title":"Aphid genome expression reveals host–symbiont cooperation in the production of amino acids","volume":"108","author":[{"family":"Hansen","given":"Allison K."},{"family":"Moran","given":"Nancy A."}],"issued":{"date-parts":[["2011",2,15]]}}},{"id":1768,"uris":["http://zotero.org/users/6401767/items/98SYYHGX"],"itemData":{"id":1768,"type":"article-journal","abstract":"In many animal groups, mutualistic bacterial symbionts play a central role in host ecology, by provisioning rare nutrients and thus enabling specialization on restricted diets. Among such symbionts, genomic studies are most advanced for Buchnera, the obligate symbiont of aphids, which feed on phloem sap. The contents of the highly reduced Buchnera genomes have verified its role in aphid nutrition. Comparisons of Buchnera gene sets indicate ongoing, irreversible gene losses that are expected to affect aphid nutritional needs. Furthermore, almost all regulatory genes have been eliminated, raising the question of whether and how gene expression responds to environmental change. Microarray studies on genome-wide expression indicate that Buchnera has evolved some constitutive changes in gene expression: homologues of heat stress genes have elevated transcript levels in Buchnera (relative to other bacteria) even in the absence of stress. Additionally, the microarray results indicate that responses to heat stress and to amino acid availability are both few and modest. Observed responses are consistent with control by the few ancestral regulators retained in the genome. Initial studies on the role of host genes in mediating the symbiosis reveal distinctive expression patterns in host cells harbouring Buchnera. In the near future, a complete genome of pea aphid will accelerate progress in understanding the functional integration of aphid and Buchnera genomes. Although information for other insect symbioses is relatively limited, studies on symbionts of carpenter ants and tsetse flies indicate many similarities to Buchnera.","container-title":"Molecular Ecology","DOI":"10.1111/j.1365-294X.2005.02744.x","ISSN":"0962-1083, 1365-294X","issue":"5","journalAbbreviation":"Molecular Ecology","language":"en","page":"1251-1261","source":"DOI.org (Crossref)","title":"Functional genomics of &lt;i&gt;Buchnera&lt;/i&gt; and the ecology of aphid hosts","volume":"15","author":[{"family":"Moran","given":"Nancy A."},{"family":"Degnan","given":"Patrick H."}],"issued":{"date-parts":[["2006",4]]}}}],"schema":"https://github.com/citation-style-language/schema/raw/master/csl-citation.json"} </w:instrText>
      </w:r>
      <w:r w:rsidR="007F6977" w:rsidRPr="00553649">
        <w:rPr>
          <w:rFonts w:ascii="Times New Roman" w:hAnsi="Times New Roman" w:cs="Times New Roman"/>
        </w:rPr>
        <w:fldChar w:fldCharType="separate"/>
      </w:r>
      <w:r w:rsidR="004D2321">
        <w:rPr>
          <w:rFonts w:ascii="Times New Roman" w:hAnsi="Times New Roman" w:cs="Times New Roman"/>
        </w:rPr>
        <w:t>(Hansen &amp; Moran, 2011; Moran &amp; Degnan, 2006)</w:t>
      </w:r>
      <w:r w:rsidR="007F6977" w:rsidRPr="00553649">
        <w:rPr>
          <w:rFonts w:ascii="Times New Roman" w:hAnsi="Times New Roman" w:cs="Times New Roman"/>
        </w:rPr>
        <w:fldChar w:fldCharType="end"/>
      </w:r>
      <w:r w:rsidRPr="00553649">
        <w:rPr>
          <w:rFonts w:ascii="Times New Roman" w:hAnsi="Times New Roman" w:cs="Times New Roman"/>
        </w:rPr>
        <w:t xml:space="preserve">. The evolutionary ramifications of </w:t>
      </w:r>
      <w:r w:rsidR="000F47D5" w:rsidRPr="00553649">
        <w:rPr>
          <w:rFonts w:ascii="Times New Roman" w:hAnsi="Times New Roman" w:cs="Times New Roman"/>
        </w:rPr>
        <w:t>cooperation</w:t>
      </w:r>
      <w:r w:rsidRPr="00553649">
        <w:rPr>
          <w:rFonts w:ascii="Times New Roman" w:hAnsi="Times New Roman" w:cs="Times New Roman"/>
        </w:rPr>
        <w:t xml:space="preserve"> can yield co-dependence and co-evolution, as evolutionary fates </w:t>
      </w:r>
      <w:r w:rsidR="003342A8">
        <w:rPr>
          <w:rFonts w:ascii="Times New Roman" w:hAnsi="Times New Roman" w:cs="Times New Roman"/>
        </w:rPr>
        <w:t>of</w:t>
      </w:r>
      <w:r w:rsidRPr="00553649">
        <w:rPr>
          <w:rFonts w:ascii="Times New Roman" w:hAnsi="Times New Roman" w:cs="Times New Roman"/>
        </w:rPr>
        <w:t xml:space="preserve"> hosts and mutualists become intricately linked and display congruence along host and symbiont phylogenies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{"citationID":"xBBqraNO","properties":{"formattedCitation":"(Moran &amp; Sloan, 2015)","plainCitation":"(Moran &amp; Sloan, 2015)","noteIndex":0},"citationItems":[{"id":144,"uris":["http://zotero.org/users/6401767/items/72UV6FKF"],"itemData":{"id":144,"type":"article-journal","abstract":"With the increasing appreciation for the crucial roles that microbial symbionts play in the development and fitness of plant and animal hosts, there has been a recent push to interpret evolution through the lens of the “hologenome”—the collective genomic content of a host and its microbiome. But how symbionts evolve and, particularly, whether they undergo natural selection to benefit hosts are complex issues that are associated with several misconceptions about evolutionary processes in host-associated microbial communities. Microorganisms can have intimate, ancient, and/or mutualistic associations with hosts without having undergone natural selection to benefit hosts. Likewise, observing host-specific microbial community composition or greater community similarity among more closely related hosts does not imply that symbionts have coevolved with hosts, let alone that they have evolved for the benefit of the host. Although selection at the level of the symbiotic community, or hologenome, occurs in some cases, it should not be accepted as the null hypothesis for explaining features of host–symbiont associations.","container-title":"PLOS Biology","DOI":"10.1371/journal.pbio.1002311","ISSN":"1545-7885","issue":"12","journalAbbreviation":"PLOS Biology","language":"en","note":"publisher: Public Library of Science","page":"e1002311","source":"PLoS Journals","title":"The Hologenome Concept: Helpful or Hollow?","title-short":"The Hologenome Concept","volume":"13","author":[{"family":"Moran","given":"Nancy A."},{"family":"Sloan","given":"Daniel B."}],"issued":{"date-parts":[["2015",12,4]]}}}],"schema":"https://github.com/citation-style-language/schema/raw/master/csl-citation.json"}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(Moran &amp; Sloan, 2015)</w:t>
      </w:r>
      <w:r w:rsidRPr="00553649">
        <w:rPr>
          <w:rFonts w:ascii="Times New Roman" w:hAnsi="Times New Roman" w:cs="Times New Roman"/>
        </w:rPr>
        <w:fldChar w:fldCharType="end"/>
      </w:r>
      <w:r w:rsidRPr="00553649">
        <w:rPr>
          <w:rFonts w:ascii="Times New Roman" w:hAnsi="Times New Roman" w:cs="Times New Roman"/>
        </w:rPr>
        <w:t xml:space="preserve">. </w:t>
      </w:r>
      <w:r w:rsidR="003342A8">
        <w:rPr>
          <w:rFonts w:ascii="Times New Roman" w:hAnsi="Times New Roman" w:cs="Times New Roman"/>
        </w:rPr>
        <w:t>V</w:t>
      </w:r>
      <w:r w:rsidRPr="00553649">
        <w:rPr>
          <w:rFonts w:ascii="Times New Roman" w:hAnsi="Times New Roman" w:cs="Times New Roman"/>
        </w:rPr>
        <w:t xml:space="preserve">ertically transmitted </w:t>
      </w:r>
      <w:proofErr w:type="spellStart"/>
      <w:r w:rsidRPr="00553649">
        <w:rPr>
          <w:rFonts w:ascii="Times New Roman" w:hAnsi="Times New Roman" w:cs="Times New Roman"/>
        </w:rPr>
        <w:t>endocellular</w:t>
      </w:r>
      <w:proofErr w:type="spellEnd"/>
      <w:r w:rsidRPr="00553649">
        <w:rPr>
          <w:rFonts w:ascii="Times New Roman" w:hAnsi="Times New Roman" w:cs="Times New Roman"/>
        </w:rPr>
        <w:t xml:space="preserve"> parasites, such as the </w:t>
      </w:r>
      <w:r w:rsidRPr="00553649">
        <w:rPr>
          <w:rFonts w:ascii="Times New Roman" w:hAnsi="Times New Roman" w:cs="Times New Roman"/>
        </w:rPr>
        <w:lastRenderedPageBreak/>
        <w:t xml:space="preserve">‘master manipulator’ </w:t>
      </w:r>
      <w:r w:rsidRPr="00553649">
        <w:rPr>
          <w:rFonts w:ascii="Times New Roman" w:hAnsi="Times New Roman" w:cs="Times New Roman"/>
          <w:i/>
          <w:iCs/>
        </w:rPr>
        <w:t>Wolbachia</w:t>
      </w:r>
      <w:r w:rsidRPr="00553649">
        <w:rPr>
          <w:rFonts w:ascii="Times New Roman" w:hAnsi="Times New Roman" w:cs="Times New Roman"/>
        </w:rPr>
        <w:t xml:space="preserve">, can remarkably affect host behavior and fitness, even shaping the evolutionary trajectories of species through an array of processes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{"citationID":"VqUednGi","properties":{"formattedCitation":"(Yeap et al., 2018)","plainCitation":"(Yeap et al., 2018)","noteIndex":0},"citationItems":[{"id":381,"uris":["http://zotero.org/users/6401767/items/9I8RHX38"],"itemData":{"id":381,"type":"article-journal","abstract":"Wolbachia bacteria are known to cause deviations from random mating and affect sperm competition (SC) in some of their arthropod hosts. Because these effects could influence the effectiveness of Wolbachia in mosquito population replacement and suppression programs, we developed a theoretical framework to investigate them and we collected relevant data for the wMel infection in Aedes aegypti. Using incompatibility patterns as a measure of mating success of infected versus uninfected mosquitoes, we found some evidence that uninfected males sire more offspring than infected males. However, our theoretical framework suggests that this effect is unlikely to hamper Wolbachia invasion and has only minor effects on population suppression programs. Nevertheless, we suggest that mating effects and SC need to be monitored in an ongoing manner in release programs, given the possibility of ongoing selection for altered mating patterns.","container-title":"The American Journal of Tropical Medicine and Hygiene","DOI":"10.4269/ajtmh.18-0178","ISSN":"0002-9637","issue":"3","journalAbbreviation":"Am J Trop Med Hyg","note":"PMID: 29968550\nPMCID: PMC6169187","page":"608-617","source":"PubMed Central","title":"The Effect of Nonrandom Mating on Wolbachia Dynamics: Implications for Population Replacement and Sterile Releases in Aedes Mosquitoes","title-short":"The Effect of Nonrandom Mating on Wolbachia Dynamics","volume":"99","author":[{"family":"Yeap","given":"Heng Lin"},{"family":"Endersby-Harshman","given":"Nancy Margaret"},{"family":"Hoffmann","given":"Ary Anthony"}],"issued":{"date-parts":[["2018",9]]}}}],"schema":"https://github.com/citation-style-language/schema/raw/master/csl-citation.json"}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(Yeap et al., 2018)</w:t>
      </w:r>
      <w:r w:rsidRPr="00553649">
        <w:rPr>
          <w:rFonts w:ascii="Times New Roman" w:hAnsi="Times New Roman" w:cs="Times New Roman"/>
        </w:rPr>
        <w:fldChar w:fldCharType="end"/>
      </w:r>
      <w:r w:rsidRPr="00553649">
        <w:rPr>
          <w:rFonts w:ascii="Times New Roman" w:hAnsi="Times New Roman" w:cs="Times New Roman"/>
        </w:rPr>
        <w:t>. Environmentally acquired symbionts are more puzzling from an evolutionary perspective since the dynamics of partner fidelity (prolonged correlated associations) are not immediately clear. Environmentally acquired symbionts can engage positive feedback cycles for mutualistic benefits, whether it be through pleiotropic interactions, partner choice, or utilizing toxic host by-products</w:t>
      </w:r>
      <w:r w:rsidR="007F6977"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{"citationID":"LqnCc4l9","properties":{"formattedCitation":"(Shapiro &amp; Turner, 2014)","plainCitation":"(Shapiro &amp; Turner, 2014)","noteIndex":0},"citationItems":[{"id":378,"uris":["http://zotero.org/users/6401767/items/2R9CRGIX"],"itemData":{"id":378,"type":"article-journal","abstract":"While past work has often examined the effects of transmission mode on virulence evolution in parasites, few studies have explored the impact of horizontal transmission on the evolution of benefits conferred by a symbiont to its host. Here, we identify three mechanisms that create a positive covariance between horizontal transmission and symbiont-provided benefits: pleiotropy within the symbiont genome, partner choice by the host, and consumption of host waste by-products by symbionts. We modify a susceptible-infected model to incorporate the details of each mechanism and examine the evolution of symbiont benefits given variation in either the immigration rate of susceptible hosts or the rate of successful vertical transmission. We find conditions for each case under which greater opportunity for horizontal transmission (higher migration rate) favors the evolution of mutualism. Further, we find the surprising result that vertical transmission can inhibit the evolution of benefits provided by symbionts to hosts when horizontal transmission and symbiont-provided benefits are positively correlated. These predictions may apply to a number of natural systems, and the results may explain why many mutualisms that rely on partner choice often lack a mechanism for vertical transmission.","container-title":"Ecology and Evolution","DOI":"10.1002/ece3.1166","ISSN":"2045-7758","issue":"17","language":"en","note":"_eprint: https://onlinelibrary.wiley.com/doi/pdf/10.1002/ece3.1166","page":"3350-3361","source":"Wiley Online Library","title":"The impact of transmission mode on the evolution of benefits provided by microbial symbionts","volume":"4","author":[{"family":"Shapiro","given":"Jason W."},{"family":"Turner","given":"Paul E."}],"issued":{"date-parts":[["2014"]]}}}],"schema":"https://github.com/citation-style-language/schema/raw/master/csl-citation.json"}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(Shapiro &amp; Turner, 2014)</w:t>
      </w:r>
      <w:r w:rsidRPr="00553649">
        <w:rPr>
          <w:rFonts w:ascii="Times New Roman" w:hAnsi="Times New Roman" w:cs="Times New Roman"/>
        </w:rPr>
        <w:fldChar w:fldCharType="end"/>
      </w:r>
      <w:r w:rsidRPr="00553649">
        <w:rPr>
          <w:rFonts w:ascii="Times New Roman" w:hAnsi="Times New Roman" w:cs="Times New Roman"/>
        </w:rPr>
        <w:t xml:space="preserve">. The maintenance of these </w:t>
      </w:r>
      <w:r w:rsidR="00B77B63" w:rsidRPr="00553649">
        <w:rPr>
          <w:rFonts w:ascii="Times New Roman" w:hAnsi="Times New Roman" w:cs="Times New Roman"/>
        </w:rPr>
        <w:t>symbiotic interactions</w:t>
      </w:r>
      <w:r w:rsidRPr="00553649">
        <w:rPr>
          <w:rFonts w:ascii="Times New Roman" w:hAnsi="Times New Roman" w:cs="Times New Roman"/>
        </w:rPr>
        <w:t xml:space="preserve"> </w:t>
      </w:r>
      <w:r w:rsidR="003342A8">
        <w:rPr>
          <w:rFonts w:ascii="Times New Roman" w:hAnsi="Times New Roman" w:cs="Times New Roman"/>
        </w:rPr>
        <w:t>might be explained by the theory of</w:t>
      </w:r>
      <w:r w:rsidRPr="00553649">
        <w:rPr>
          <w:rFonts w:ascii="Times New Roman" w:hAnsi="Times New Roman" w:cs="Times New Roman"/>
        </w:rPr>
        <w:t xml:space="preserve"> biological markets and game theory, in which commodities are exchanged between hosts and symbionts through cooperation and conflict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{"citationID":"T8pO4PCn","properties":{"formattedCitation":"(Hammerstein &amp; No\\uc0\\u235{}, 2016; Wilkinson &amp; Sherratt, 2001)","plainCitation":"(Hammerstein &amp; Noë, 2016; Wilkinson &amp; Sherratt, 2001)","noteIndex":0},"citationItems":[{"id":1758,"uris":["http://zotero.org/users/6401767/items/6PGW5UUW"],"itemData":{"id":1758,"type":"article-journal","abstract":"Cooperation between organisms can often be understood, like trade between merchants, as a mutually beneficial exchange of services, resources or other ‘commodities’. Mutual benefits alone, however, are not sufficient to explain the evolution of trade-based cooperation. First, organisms may reject a particular trade if another partner offers a better deal. Second, while human trade often entails binding contracts, non-human trade requires unwritten ‘terms of contract’ that ‘self-stabilize’ trade and prevent cheating even if all traders strive to maximize fitness. Whenever trading partners can be chosen, market-like situations arise in nature that biologists studying cooperation need to account for. The mere possibility of exerting partner choice stabilizes many forms of otherwise cheatable trade, induces competition, facilitates the evolution of specialization and often leads to intricate forms of cooperation. We discuss selected examples to illustrate these general points and review basic conceptual approaches that are important in the theory of biological trade and markets. Comparing these approaches with theory in economics, it turns out that conventional models—often called ‘Walrasian’ markets—are of limited relevance to biology. In contrast, early approaches to trade and markets, as found in the works of Ricardo and Cournot, contain elements of thought that have inspired useful models in biology. For example, the concept of comparative advantage has biological applications in trade, signalling and ecological competition. We also see convergence between post-Walrasian economics and biological markets. For example, both economists and biologists are studying ‘principal–agent’ problems with principals offering jobs to agents without being sure that the agents will do a proper job. Finally, we show that mating markets have many peculiarities not shared with conventional economic markets. Ideas from economics are useful for biologists studying cooperation but need to be taken with caution.","container-title":"Philosophical Transactions of the Royal Society B: Biological Sciences","DOI":"10.1098/rstb.2015.0101","issue":"1687","note":"publisher: Royal Society","page":"20150101","source":"royalsocietypublishing.org (Atypon)","title":"Biological trade and markets","volume":"371","author":[{"family":"Hammerstein","given":"Peter"},{"family":"Noë","given":"Ronald"}],"issued":{"date-parts":[["2016",2,5]]}}},{"id":"aW8cvW4I/wPlqS7dQ","uris":["http://zotero.org/users/6401767/items/25WNTBXP"],"itemData":{"id":1755,"type":"article-journal","abstract":"Current models of the evolution and maintenance of mutualism stress the importance of vertical transmission and the genetic uniformity of symbionts to evolutionary stability. Here we point out that many well-known mutualistic relationships involve symbionts that are neither vertically transmitted nor genetically uniform. We have therefore re-examined some of the existing models in an attempt to identify general conditions under which horizontally acquired mutualisms might be evolutionarily stable.","container-title":"Oikos","ISSN":"0030-1299","issue":"2","note":"publisher: [Nordic Society Oikos, Wiley]","page":"377-384","source":"JSTOR","title":"Horizontally Acquired Mutualisms, an Unsolved Problem in Ecology?","volume":"92","author":[{"family":"Wilkinson","given":"David M."},{"family":"Sherratt","given":"Thomas N."}],"issued":{"date-parts":[["2001"]]}}}],"schema":"https://github.com/citation-style-language/schema/raw/master/csl-citation.json"} </w:instrText>
      </w:r>
      <w:r w:rsidRPr="00553649">
        <w:rPr>
          <w:rFonts w:ascii="Times New Roman" w:hAnsi="Times New Roman" w:cs="Times New Roman"/>
        </w:rPr>
        <w:fldChar w:fldCharType="separate"/>
      </w:r>
      <w:r w:rsidR="004D2321" w:rsidRPr="004D2321">
        <w:rPr>
          <w:rFonts w:ascii="Times New Roman" w:hAnsi="Times New Roman" w:cs="Times New Roman"/>
        </w:rPr>
        <w:t>(Hammerstein &amp; Noë, 2016; Wilkinson &amp; Sherratt, 2001)</w:t>
      </w:r>
      <w:r w:rsidRPr="00553649">
        <w:rPr>
          <w:rFonts w:ascii="Times New Roman" w:hAnsi="Times New Roman" w:cs="Times New Roman"/>
        </w:rPr>
        <w:fldChar w:fldCharType="end"/>
      </w:r>
      <w:r w:rsidRPr="00553649">
        <w:rPr>
          <w:rFonts w:ascii="Times New Roman" w:hAnsi="Times New Roman" w:cs="Times New Roman"/>
        </w:rPr>
        <w:t xml:space="preserve">. </w:t>
      </w:r>
      <w:r w:rsidR="00067F5F" w:rsidRPr="00553649">
        <w:rPr>
          <w:rFonts w:ascii="Times New Roman" w:hAnsi="Times New Roman" w:cs="Times New Roman"/>
        </w:rPr>
        <w:t>These scenarios could promote specialization and increase</w:t>
      </w:r>
      <w:r w:rsidRPr="00553649">
        <w:rPr>
          <w:rFonts w:ascii="Times New Roman" w:hAnsi="Times New Roman" w:cs="Times New Roman"/>
        </w:rPr>
        <w:t xml:space="preserve"> the fitness of hosts and symbionts without relying on vertical transmission </w:t>
      </w:r>
      <w:r w:rsidR="003342A8">
        <w:rPr>
          <w:rFonts w:ascii="Times New Roman" w:hAnsi="Times New Roman" w:cs="Times New Roman"/>
        </w:rPr>
        <w:t>to align the reproductive success of hosts and symbionts</w:t>
      </w:r>
      <w:r w:rsidRPr="00553649">
        <w:rPr>
          <w:rFonts w:ascii="Times New Roman" w:hAnsi="Times New Roman" w:cs="Times New Roman"/>
        </w:rPr>
        <w:t xml:space="preserve">. This has been shown to occur through </w:t>
      </w:r>
      <w:r w:rsidR="00067F5F" w:rsidRPr="00553649">
        <w:rPr>
          <w:rFonts w:ascii="Times New Roman" w:hAnsi="Times New Roman" w:cs="Times New Roman"/>
        </w:rPr>
        <w:t>housing</w:t>
      </w:r>
      <w:r w:rsidRPr="00553649">
        <w:rPr>
          <w:rFonts w:ascii="Times New Roman" w:hAnsi="Times New Roman" w:cs="Times New Roman"/>
        </w:rPr>
        <w:t xml:space="preserve"> organs (e.g. </w:t>
      </w:r>
      <w:proofErr w:type="spellStart"/>
      <w:r w:rsidR="00886548" w:rsidRPr="00553649">
        <w:rPr>
          <w:rFonts w:ascii="Times New Roman" w:hAnsi="Times New Roman" w:cs="Times New Roman"/>
          <w:i/>
          <w:iCs/>
        </w:rPr>
        <w:t>Euprymna</w:t>
      </w:r>
      <w:proofErr w:type="spellEnd"/>
      <w:r w:rsidR="00886548" w:rsidRPr="00553649">
        <w:rPr>
          <w:rFonts w:ascii="Times New Roman" w:hAnsi="Times New Roman" w:cs="Times New Roman"/>
          <w:i/>
          <w:iCs/>
        </w:rPr>
        <w:t xml:space="preserve"> </w:t>
      </w:r>
      <w:proofErr w:type="spellStart"/>
      <w:r w:rsidR="00886548" w:rsidRPr="00553649">
        <w:rPr>
          <w:rFonts w:ascii="Times New Roman" w:hAnsi="Times New Roman" w:cs="Times New Roman"/>
          <w:i/>
          <w:iCs/>
        </w:rPr>
        <w:t>scolopes</w:t>
      </w:r>
      <w:proofErr w:type="spellEnd"/>
      <w:r w:rsidR="00AE0227" w:rsidRPr="00553649">
        <w:rPr>
          <w:rFonts w:ascii="Times New Roman" w:hAnsi="Times New Roman" w:cs="Times New Roman"/>
        </w:rPr>
        <w:t xml:space="preserve"> and</w:t>
      </w:r>
      <w:r w:rsidR="00886548" w:rsidRPr="00553649">
        <w:rPr>
          <w:rFonts w:ascii="Times New Roman" w:hAnsi="Times New Roman" w:cs="Times New Roman"/>
        </w:rPr>
        <w:t xml:space="preserve"> </w:t>
      </w:r>
      <w:r w:rsidR="00AE0227" w:rsidRPr="00553649">
        <w:rPr>
          <w:rFonts w:ascii="Times New Roman" w:hAnsi="Times New Roman" w:cs="Times New Roman"/>
          <w:i/>
          <w:iCs/>
        </w:rPr>
        <w:t xml:space="preserve">Vibrio </w:t>
      </w:r>
      <w:proofErr w:type="spellStart"/>
      <w:r w:rsidR="00AE0227" w:rsidRPr="00553649">
        <w:rPr>
          <w:rFonts w:ascii="Times New Roman" w:hAnsi="Times New Roman" w:cs="Times New Roman"/>
          <w:i/>
          <w:iCs/>
        </w:rPr>
        <w:t>fischeri</w:t>
      </w:r>
      <w:proofErr w:type="spellEnd"/>
      <w:r w:rsidR="00C02BDC" w:rsidRPr="00553649">
        <w:rPr>
          <w:rFonts w:ascii="Times New Roman" w:hAnsi="Times New Roman" w:cs="Times New Roman"/>
        </w:rPr>
        <w:t xml:space="preserve"> </w:t>
      </w:r>
      <w:r w:rsidR="00AE0227"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{"citationID":"zR1VKfNU","properties":{"formattedCitation":"(Visick et al., 2021)","plainCitation":"(Visick et al., 2021)","noteIndex":0},"citationItems":[{"id":364,"uris":["http://zotero.org/users/6401767/items/3XJADXXW"],"itemData":{"id":364,"type":"article-journal","abstract":"As our understanding of the human microbiome progresses, so does the need for natural experimental animal models that promote a mechanistic understanding of beneficial microorganism–host interactions. Years of research into the exclusive symbiosis between the Hawaiian bobtail squid, Euprymna scolopes, and the bioluminescent bacterium Vibrio fischeri have permitted a detailed understanding of those bacterial genes underlying signal exchange and rhythmic activities that result in a persistent, beneficial association, as well as glimpses into the evolution of symbiotic competence. Migrating from the ambient seawater to regions deep inside the light-emitting organ of the squid, V. fischeri experiences, recognizes and adjusts to the changing environmental conditions. Here, we review key advances over the past 15 years that are deepening our understanding of these events.","container-title":"Nature Reviews Microbiology","DOI":"10.1038/s41579-021-00557-0","ISSN":"1740-1534","issue":"10","journalAbbreviation":"Nat Rev Microbiol","language":"en","license":"2021 Springer Nature Limited","note":"number: 10\npublisher: Nature Publishing Group","page":"654-665","source":"www.nature.com","title":"A lasting symbiosis: how Vibrio fischeri finds a squid partner and persists within its natural host","title-short":"A lasting symbiosis","volume":"19","author":[{"family":"Visick","given":"Karen L."},{"family":"Stabb","given":"Eric V."},{"family":"Ruby","given":"Edward G."}],"issued":{"date-parts":[["2021",10]]}}}],"schema":"https://github.com/citation-style-language/schema/raw/master/csl-citation.json"} </w:instrText>
      </w:r>
      <w:r w:rsidR="00AE0227" w:rsidRPr="00553649">
        <w:rPr>
          <w:rFonts w:ascii="Times New Roman" w:hAnsi="Times New Roman" w:cs="Times New Roman"/>
        </w:rPr>
        <w:fldChar w:fldCharType="separate"/>
      </w:r>
      <w:r w:rsidR="004D2321">
        <w:rPr>
          <w:rFonts w:ascii="Times New Roman" w:hAnsi="Times New Roman" w:cs="Times New Roman"/>
          <w:noProof/>
        </w:rPr>
        <w:t>(Visick et al., 2021)</w:t>
      </w:r>
      <w:r w:rsidR="00AE0227" w:rsidRPr="00553649">
        <w:rPr>
          <w:rFonts w:ascii="Times New Roman" w:hAnsi="Times New Roman" w:cs="Times New Roman"/>
        </w:rPr>
        <w:fldChar w:fldCharType="end"/>
      </w:r>
      <w:r w:rsidRPr="00553649">
        <w:rPr>
          <w:rFonts w:ascii="Times New Roman" w:hAnsi="Times New Roman" w:cs="Times New Roman"/>
        </w:rPr>
        <w:t xml:space="preserve">), capture and ‘farming’ (e.g. </w:t>
      </w:r>
      <w:r w:rsidR="00AE0227" w:rsidRPr="00553649">
        <w:rPr>
          <w:rFonts w:ascii="Times New Roman" w:hAnsi="Times New Roman" w:cs="Times New Roman"/>
        </w:rPr>
        <w:t>C</w:t>
      </w:r>
      <w:r w:rsidRPr="00553649">
        <w:rPr>
          <w:rFonts w:ascii="Times New Roman" w:hAnsi="Times New Roman" w:cs="Times New Roman"/>
        </w:rPr>
        <w:t>oral</w:t>
      </w:r>
      <w:r w:rsidR="00AE0227" w:rsidRPr="00553649">
        <w:rPr>
          <w:rFonts w:ascii="Times New Roman" w:hAnsi="Times New Roman" w:cs="Times New Roman"/>
        </w:rPr>
        <w:t>s</w:t>
      </w:r>
      <w:r w:rsidRPr="00553649">
        <w:rPr>
          <w:rFonts w:ascii="Times New Roman" w:hAnsi="Times New Roman" w:cs="Times New Roman"/>
        </w:rPr>
        <w:t xml:space="preserve"> and </w:t>
      </w:r>
      <w:proofErr w:type="spellStart"/>
      <w:r w:rsidR="00AE0227" w:rsidRPr="00553649">
        <w:rPr>
          <w:rFonts w:ascii="Times New Roman" w:hAnsi="Times New Roman" w:cs="Times New Roman"/>
          <w:i/>
          <w:iCs/>
        </w:rPr>
        <w:t>Symbiodinium</w:t>
      </w:r>
      <w:proofErr w:type="spellEnd"/>
      <w:r w:rsidR="00C02BDC" w:rsidRPr="00553649">
        <w:rPr>
          <w:rFonts w:ascii="Times New Roman" w:hAnsi="Times New Roman" w:cs="Times New Roman"/>
        </w:rPr>
        <w:t xml:space="preserve"> </w:t>
      </w:r>
      <w:r w:rsidR="00AE0227"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{"citationID":"a2pejnk1236","properties":{"formattedCitation":"(Wooldridge, 2010)","plainCitation":"(Wooldridge, 2010)","noteIndex":0},"citationItems":[{"id":355,"uris":["http://zotero.org/users/6401767/items/X2RF2AFQ"],"itemData":{"id":355,"type":"article-journal","abstract":"The consideration of 'mutual benefits' and partner cooperation have long been the accepted standpoint from which to draw inference about the onset, maintenance and breakdown of the coral-algae endosymbiosis. In this paper, I review recent research into the climate-induced breakdown of this important symbiosis (namely 'coral bleaching') that challenges the validity of this long-standing belief. Indeed, I introduce a more parsimonious explanation, in which the coral host exerts a 'controlled parasitism' over its algal symbionts that is akin to an enforced domestication arrangement. Far from being pathogenic, a range of well-established cellular processes are reviewed that support the role of the coral host as an active 'farmer' of the energy-rich photoassimilates from its captive symbionts. Importantly, this new paradigm reposes the deleterious bleaching response in terms of an envelope of environmental conditions in which the exploitative and captive measures of the coral host are severely restricted. The ramification of this new paradigm for developing management strategies that may assist the evolution of bleaching resistance in corals is discussed.","container-title":"BioEssays : news and reviews in molecular, cellular and developmental biology","DOI":"10.1002/bies.200900182","journalAbbreviation":"BioEssays : news and reviews in molecular, cellular and developmental biology","page":"615-25","source":"ResearchGate","title":"Is the coral-algae symbiosis really 'mutually beneficial' for the partners?","volume":"32","author":[{"family":"Wooldridge","given":"Scott"}],"issued":{"date-parts":[["2010",7,1]]}}}],"schema":"https://github.com/citation-style-language/schema/raw/master/csl-citation.json"} </w:instrText>
      </w:r>
      <w:r w:rsidR="00AE0227" w:rsidRPr="00553649">
        <w:rPr>
          <w:rFonts w:ascii="Times New Roman" w:hAnsi="Times New Roman" w:cs="Times New Roman"/>
        </w:rPr>
        <w:fldChar w:fldCharType="separate"/>
      </w:r>
      <w:r w:rsidR="004D2321">
        <w:rPr>
          <w:rFonts w:ascii="Times New Roman" w:hAnsi="Times New Roman" w:cs="Times New Roman"/>
        </w:rPr>
        <w:t>(Wooldridge, 2010)</w:t>
      </w:r>
      <w:r w:rsidR="00AE0227" w:rsidRPr="00553649">
        <w:rPr>
          <w:rFonts w:ascii="Times New Roman" w:hAnsi="Times New Roman" w:cs="Times New Roman"/>
        </w:rPr>
        <w:fldChar w:fldCharType="end"/>
      </w:r>
      <w:r w:rsidRPr="00553649">
        <w:rPr>
          <w:rFonts w:ascii="Times New Roman" w:hAnsi="Times New Roman" w:cs="Times New Roman"/>
        </w:rPr>
        <w:t xml:space="preserve">), or symbiont harboring through selective gut physiology (e.g. </w:t>
      </w:r>
      <w:proofErr w:type="spellStart"/>
      <w:r w:rsidR="00886548" w:rsidRPr="00553649">
        <w:rPr>
          <w:rFonts w:ascii="Times New Roman" w:hAnsi="Times New Roman" w:cs="Times New Roman"/>
        </w:rPr>
        <w:t>Coreoidae</w:t>
      </w:r>
      <w:proofErr w:type="spellEnd"/>
      <w:r w:rsidR="00886548" w:rsidRPr="00553649">
        <w:rPr>
          <w:rFonts w:ascii="Times New Roman" w:hAnsi="Times New Roman" w:cs="Times New Roman"/>
        </w:rPr>
        <w:t xml:space="preserve"> and </w:t>
      </w:r>
      <w:proofErr w:type="spellStart"/>
      <w:r w:rsidRPr="00553649">
        <w:rPr>
          <w:rFonts w:ascii="Times New Roman" w:hAnsi="Times New Roman" w:cs="Times New Roman"/>
          <w:i/>
          <w:iCs/>
        </w:rPr>
        <w:t>Burkholderia</w:t>
      </w:r>
      <w:proofErr w:type="spellEnd"/>
      <w:r w:rsidR="00C02BDC" w:rsidRPr="00553649">
        <w:rPr>
          <w:rFonts w:ascii="Times New Roman" w:hAnsi="Times New Roman" w:cs="Times New Roman"/>
          <w:i/>
          <w:iCs/>
        </w:rPr>
        <w:t xml:space="preserve"> </w:t>
      </w:r>
      <w:r w:rsidR="00C02BDC" w:rsidRPr="00553649">
        <w:rPr>
          <w:rFonts w:ascii="Times New Roman" w:hAnsi="Times New Roman" w:cs="Times New Roman"/>
          <w:i/>
          <w:iCs/>
        </w:rPr>
        <w:fldChar w:fldCharType="begin"/>
      </w:r>
      <w:r w:rsidR="004D2321">
        <w:rPr>
          <w:rFonts w:ascii="Times New Roman" w:hAnsi="Times New Roman" w:cs="Times New Roman"/>
          <w:i/>
          <w:iCs/>
        </w:rPr>
        <w:instrText xml:space="preserve"> ADDIN ZOTERO_ITEM CSL_CITATION {"citationID":"a2pa8v63ct1","properties":{"formattedCitation":"(Takeshita &amp; Kikuchi, 2020)","plainCitation":"(Takeshita &amp; Kikuchi, 2020)","noteIndex":0},"citationItems":[{"id":1771,"uris":["http://zotero.org/users/6401767/items/C59CMRMH"],"itemData":{"id":1771,"type":"article-journal","abstract":"Stink bugs of the superfamilies Coreoidea and Lygaeoidea establish gut symbioses with environmentally acquired bacteria of the genus Burkholderia sensu lato. In the genus Burkholderia, the stink bug-associated strains form a monophyletic clade, named stink bug-associated beneficial and environmental (SBE) clade (or Caballeronia). Recently, we revealed that members of the family Largidae of the superfamily Pyrrhocoroidea are associated with Burkholderia but not specifically with the SBE Burkholderia; largid bugs harbor symbionts that belong to a clade of plant-associated group of Burkholderia, called plant-associated beneficial and environmental (PBE) clade (or Paraburkholderia). To understand the genomic features of Burkholderia symbionts of stink bugs, we isolated two symbiotic Burkholderia strains from a bordered plant bug Physopellta gutta (Pyrrhocoroidea: Largidae) and determined their complete genomes. The genome sizes of the insect-associated PBE (iPBE) are 9.5 Mb and 11.2 Mb, both of which are larger than the genomes of the SBE Burkholderia symbionts. A whole-genome comparison between two iPBE symbionts and three SBE symbionts highlighted that all previously reported symbiosis factors are shared and that 282 genes are specifically conserved in the five stink bug symbionts, over one-third of which have unknown function. Among the symbiont-specific genes, about 40 genes formed a cluster in all five symbionts; this suggests a “symbiotic island” in the genome of stink bug-associated Burkholderia.","container-title":"Genes","DOI":"10.3390/genes11070744","ISSN":"2073-4425","issue":"7","language":"en","license":"http://creativecommons.org/licenses/by/3.0/","note":"number: 7\npublisher: Multidisciplinary Digital Publishing Institute","page":"744","source":"www.mdpi.com","title":"Genomic Comparison of Insect Gut Symbionts from Divergent Burkholderia Subclades","volume":"11","author":[{"family":"Takeshita","given":"Kazutaka"},{"family":"Kikuchi","given":"Yoshitomo"}],"issued":{"date-parts":[["2020",7]]}}}],"schema":"https://github.com/citation-style-language/schema/raw/master/csl-citation.json"} </w:instrText>
      </w:r>
      <w:r w:rsidR="00C02BDC" w:rsidRPr="00553649">
        <w:rPr>
          <w:rFonts w:ascii="Times New Roman" w:hAnsi="Times New Roman" w:cs="Times New Roman"/>
          <w:i/>
          <w:iCs/>
        </w:rPr>
        <w:fldChar w:fldCharType="separate"/>
      </w:r>
      <w:r w:rsidR="004D2321">
        <w:rPr>
          <w:rFonts w:ascii="Times New Roman" w:hAnsi="Times New Roman" w:cs="Times New Roman"/>
        </w:rPr>
        <w:t>(Takeshita &amp; Kikuchi, 2020)</w:t>
      </w:r>
      <w:r w:rsidR="00C02BDC" w:rsidRPr="00553649">
        <w:rPr>
          <w:rFonts w:ascii="Times New Roman" w:hAnsi="Times New Roman" w:cs="Times New Roman"/>
          <w:i/>
          <w:iCs/>
        </w:rPr>
        <w:fldChar w:fldCharType="end"/>
      </w:r>
      <w:r w:rsidRPr="00553649">
        <w:rPr>
          <w:rFonts w:ascii="Times New Roman" w:hAnsi="Times New Roman" w:cs="Times New Roman"/>
        </w:rPr>
        <w:t>).</w:t>
      </w:r>
      <w:r w:rsidR="000D1025" w:rsidRPr="00553649">
        <w:rPr>
          <w:rFonts w:ascii="Times New Roman" w:hAnsi="Times New Roman" w:cs="Times New Roman"/>
        </w:rPr>
        <w:t xml:space="preserve"> </w:t>
      </w:r>
      <w:r w:rsidR="00077892" w:rsidRPr="00553649">
        <w:rPr>
          <w:rFonts w:ascii="Times New Roman" w:hAnsi="Times New Roman" w:cs="Times New Roman"/>
        </w:rPr>
        <w:t xml:space="preserve">Alternatively, hosts and symbionts can interact through diffuse associations where benefits </w:t>
      </w:r>
      <w:r w:rsidR="00900F63" w:rsidRPr="00553649">
        <w:rPr>
          <w:rFonts w:ascii="Times New Roman" w:hAnsi="Times New Roman" w:cs="Times New Roman"/>
        </w:rPr>
        <w:t>of</w:t>
      </w:r>
      <w:r w:rsidR="00077892" w:rsidRPr="00553649">
        <w:rPr>
          <w:rFonts w:ascii="Times New Roman" w:hAnsi="Times New Roman" w:cs="Times New Roman"/>
        </w:rPr>
        <w:t xml:space="preserve"> either party can be obtained without specialization.</w:t>
      </w:r>
    </w:p>
    <w:p w14:paraId="751C55E5" w14:textId="5AB8062A" w:rsidR="007C7BE3" w:rsidRPr="00553649" w:rsidRDefault="007C7BE3" w:rsidP="009924C4">
      <w:pPr>
        <w:spacing w:line="360" w:lineRule="auto"/>
        <w:ind w:firstLine="720"/>
        <w:rPr>
          <w:rFonts w:ascii="Times New Roman" w:hAnsi="Times New Roman" w:cs="Times New Roman"/>
        </w:rPr>
      </w:pPr>
      <w:r w:rsidRPr="00553649">
        <w:rPr>
          <w:rFonts w:ascii="Times New Roman" w:hAnsi="Times New Roman" w:cs="Times New Roman"/>
        </w:rPr>
        <w:t xml:space="preserve">Recently, advancements in high throughput sequencing have launched the </w:t>
      </w:r>
      <w:r w:rsidR="00E05742" w:rsidRPr="00553649">
        <w:rPr>
          <w:rFonts w:ascii="Times New Roman" w:hAnsi="Times New Roman" w:cs="Times New Roman"/>
        </w:rPr>
        <w:t>investigation</w:t>
      </w:r>
      <w:r w:rsidRPr="00553649">
        <w:rPr>
          <w:rFonts w:ascii="Times New Roman" w:hAnsi="Times New Roman" w:cs="Times New Roman"/>
        </w:rPr>
        <w:t xml:space="preserve"> of extracellular symbiotic prokaryotic and fungal communities associated with a host. Symbiotic communities associated with animal hosts (referred to as a microbiome) can influence host behavior, reproduction, digestion, ecological interactions, and even cognitive function through individual associations or symbiotic consortiums more broadly </w:t>
      </w:r>
      <w:r w:rsidR="00C02BDC"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{"citationID":"a1ufhr5l143","properties":{"formattedCitation":"(Antwis et al., 2020; Kohl et al., 2016)","plainCitation":"(Antwis et al., 2020; Kohl et al., 2016)","noteIndex":0},"citationItems":[{"id":1773,"uris":["http://zotero.org/users/6401767/items/KJLH8XF4"],"itemData":{"id":1773,"type":"book","abstract":"Through a long history of co-evolution, multicellular organisms form a complex of host cells plus many associated microorganism species. Consisting of algae, bacteria, archaea, fungi, protists and viruses, and collectively referred to as the microbiome, these microorganisms contribute to a range of important functions in their hosts, from nutrition, to behaviour and disease susceptibility. In this book, a diverse and international group of active researchers outline how multicellular organisms have become reliant on their microbiomes to function, and explore this vital interdependence across the breadth of soil, plant, animal and human hosts. They draw parallels and contrasts across hosts in different environments, and discuss how this invisible microbial ecosystem influences everything from the food we eat, to our health, to the correct functioning of ecosystems we depend on. This insightful read also pertinently encourages students and researchers in microbial ecology, ecology, and microbiology to consider how this interdependence may be key to mitigating environmental changes and developing microbial biotechnology to improve life on Earth.","collection-title":"Ecological Reviews","event-place":"Cambridge","ISBN":"978-1-108-47371-2","note":"DOI: 10.1017/9781108654418","publisher":"Cambridge University Press","publisher-place":"Cambridge","source":"Cambridge University Press","title":"Microbiomes of Soils, Plants and Animals: An Integrated Approach","title-short":"Microbiomes of Soils, Plants and Animals","URL":"https://www.cambridge.org/core/books/microbiomes-of-soils-plants-and-animals/5F38AD99527EF35B2253357E074FE574","editor":[{"family":"Antwis","given":"Rachael E."},{"family":"Harrison","given":"Xavier A."},{"family":"Cox","given":"Michael J."}],"accessed":{"date-parts":[["2024",3,7]]},"issued":{"date-parts":[["2020"]]}}},{"id":349,"uris":["http://zotero.org/users/6401767/items/RJJZ4H5H"],"itemData":{"id":349,"type":"article-journal","abstract":"It has been hypothesized that herbivores host tannindegrading bacteria (TDB) to overcome the toxic challenges posed by plant tannins. While TDB have been isolated from the guts of numerous mammals, their functional signiﬁcance to their hosts has never been explicitly tested. We introduced TDB into lab rats, which do not host TDB, and measured host performance on tannin-rich diets. We ﬁrst isolated three species of TDB, Escherichia coli, Bacillus subtilis and Enterococcus faecalis, from the guts of the desert woodrat (Neotoma lepida), which regularly feeds on tannin-rich plants. Then, we inoculated isolated TDB, as well as full woodrat microbial communities into laboratory rats. A control group was inoculated with sterilized woodrat faeces. Recipient lab rats were fed increasing concentrations of tannic acid, and we monitored tannic acid intake, body mass and liver damage as measured by serum alanine aminotransferase activity. Lab rats given TDB as isolates or full communities exhibited increased tannic acid intake, higher maintenance of body mass and lower indicators of liver damage compared with control animals. These differences were maintained when the trial was repeated after 6 weeks of feeding on tannin-free diets. Our results are the ﬁrst to demonstrate that TDB signiﬁcantly increase host performance on tannin-rich diets.","container-title":"Environmental Microbiology","DOI":"10.1111/1462-2920.12841","ISSN":"1462-2912, 1462-2920","issue":"6","journalAbbreviation":"Environmental Microbiology","language":"en","page":"1720-1729","source":"DOI.org (Crossref)","title":"Inoculation of tannin‐degrading bacteria into novel hosts increases performance on tannin‐rich diets","volume":"18","author":[{"family":"Kohl","given":"Kevin D."},{"family":"Stengel","given":"Ashley"},{"family":"Dearing","given":"M. Denise"}],"issued":{"date-parts":[["2016",6]]}}}],"schema":"https://github.com/citation-style-language/schema/raw/master/csl-citation.json"} </w:instrText>
      </w:r>
      <w:r w:rsidR="00C02BDC" w:rsidRPr="00553649">
        <w:rPr>
          <w:rFonts w:ascii="Times New Roman" w:hAnsi="Times New Roman" w:cs="Times New Roman"/>
        </w:rPr>
        <w:fldChar w:fldCharType="separate"/>
      </w:r>
      <w:r w:rsidR="004D2321">
        <w:rPr>
          <w:rFonts w:ascii="Times New Roman" w:hAnsi="Times New Roman" w:cs="Times New Roman"/>
        </w:rPr>
        <w:t>(Antwis et al., 2020; Kohl et al., 2016)</w:t>
      </w:r>
      <w:r w:rsidR="00C02BDC" w:rsidRPr="00553649">
        <w:rPr>
          <w:rFonts w:ascii="Times New Roman" w:hAnsi="Times New Roman" w:cs="Times New Roman"/>
        </w:rPr>
        <w:fldChar w:fldCharType="end"/>
      </w:r>
      <w:r w:rsidRPr="00553649">
        <w:rPr>
          <w:rFonts w:ascii="Times New Roman" w:hAnsi="Times New Roman" w:cs="Times New Roman"/>
        </w:rPr>
        <w:t xml:space="preserve">. This </w:t>
      </w:r>
      <w:r w:rsidR="00393E9C" w:rsidRPr="00553649">
        <w:rPr>
          <w:rFonts w:ascii="Times New Roman" w:hAnsi="Times New Roman" w:cs="Times New Roman"/>
        </w:rPr>
        <w:t xml:space="preserve">importance </w:t>
      </w:r>
      <w:r w:rsidRPr="00553649">
        <w:rPr>
          <w:rFonts w:ascii="Times New Roman" w:hAnsi="Times New Roman" w:cs="Times New Roman"/>
        </w:rPr>
        <w:t>has led to proposed paradigm shifts in evolutionary theory, departing from genome and environment</w:t>
      </w:r>
      <w:r w:rsidR="00FA586E">
        <w:rPr>
          <w:rFonts w:ascii="Times New Roman" w:hAnsi="Times New Roman" w:cs="Times New Roman"/>
        </w:rPr>
        <w:t>al</w:t>
      </w:r>
      <w:r w:rsidRPr="00553649">
        <w:rPr>
          <w:rFonts w:ascii="Times New Roman" w:hAnsi="Times New Roman" w:cs="Times New Roman"/>
        </w:rPr>
        <w:t xml:space="preserve"> interactions </w:t>
      </w:r>
      <w:r w:rsidR="003F13CB">
        <w:rPr>
          <w:rFonts w:ascii="Times New Roman" w:hAnsi="Times New Roman" w:cs="Times New Roman"/>
        </w:rPr>
        <w:t xml:space="preserve">to theories encompassing </w:t>
      </w:r>
      <w:r w:rsidRPr="00553649">
        <w:rPr>
          <w:rFonts w:ascii="Times New Roman" w:hAnsi="Times New Roman" w:cs="Times New Roman"/>
        </w:rPr>
        <w:t xml:space="preserve">the assemblage of </w:t>
      </w:r>
      <w:r w:rsidR="00B70948">
        <w:rPr>
          <w:rFonts w:ascii="Times New Roman" w:hAnsi="Times New Roman" w:cs="Times New Roman"/>
        </w:rPr>
        <w:t xml:space="preserve">prokaryote </w:t>
      </w:r>
      <w:r w:rsidRPr="00553649">
        <w:rPr>
          <w:rFonts w:ascii="Times New Roman" w:hAnsi="Times New Roman" w:cs="Times New Roman"/>
        </w:rPr>
        <w:t xml:space="preserve">genes associated with hosts, referred to as a ‘holobiont’ or ‘extended genotype’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{"citationID":"PFTU40GY","properties":{"formattedCitation":"(Rosenberg &amp; Zilber-Rosenberg, 2011)","plainCitation":"(Rosenberg &amp; Zilber-Rosenberg, 2011)","noteIndex":0},"citationItems":[{"id":362,"uris":["http://zotero.org/users/6401767/items/IJDBJD84"],"itemData":{"id":362,"type":"chapter","abstract":"The hologenome theory of evolution considers the holobiont (the animal or plant with all of its associated microorganisms) as a unit of selection in evolution. The hologenome is defined as the sum of the genetic information of the host and its microbiota. The theory is based on four generalizations, each of which is supported by a large body of empirical data: (1) All animals and plants establish symbiotic relationships with microorganisms; often the genetic information of the diverse microbiota exceeds that of the host. (2) Cooperation between the host and the microbiota contributes to the fitness of the holobiont. (3) Variation in the hologenome can be brought about by changes in either the host or the microbiota genomes; under environmental stress, the symbiotic microbial community can change rapidly by a variety of mechanisms including microbial amplification, horizontal gene transfer, and acquisition of new microorganisms from the environment. (4) Symbiotic microorganisms are transmitted between generations. These points taken together suggest that the genetic wealth of diverse microbial symbionts can play an important role both in adaptation and in evolution of higher organisms. During periods of rapid change in the environment, the diverse microbial symbiont community can aid the holobiont in surviving, multiplying, and buying the time necessary for the host genome to evolve. The distinguishing feature of the hologenome theory is that it considers all of the diverse microbiota associated with the animal or the plant as part of the evolving holobiont. The hologenome theory contains Lamarckian aspects within a Darwinian framework, accentuating both cooperation and competition within the holobiont and with other holobionts.","container-title":"Beneficial Microorganisms in Multicellular Life Forms","event-place":"Berlin, Heidelberg","ISBN":"978-3-642-21680-0","language":"en","note":"DOI: 10.1007/978-3-642-21680-0_24","page":"323-340","publisher":"Springer","publisher-place":"Berlin, Heidelberg","source":"Springer Link","title":"The Hologenome Concept","URL":"https://doi.org/10.1007/978-3-642-21680-0_24","author":[{"family":"Rosenberg","given":"Eugene"},{"family":"Zilber-Rosenberg","given":"Ilana"}],"editor":[{"family":"Rosenberg","given":"Eugene"},{"family":"Gophna","given":"Uri"}],"accessed":{"date-parts":[["2024",2,18]]},"issued":{"date-parts":[["2011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(Rosenberg &amp; Zilber-Rosenberg, 2011)</w:t>
      </w:r>
      <w:r w:rsidRPr="00553649">
        <w:rPr>
          <w:rFonts w:ascii="Times New Roman" w:hAnsi="Times New Roman" w:cs="Times New Roman"/>
        </w:rPr>
        <w:fldChar w:fldCharType="end"/>
      </w:r>
      <w:r w:rsidRPr="00553649">
        <w:rPr>
          <w:rFonts w:ascii="Times New Roman" w:hAnsi="Times New Roman" w:cs="Times New Roman"/>
        </w:rPr>
        <w:t>. Central to this proposition is that hosts and microbial traits act as the fundamental unit of natural selection, which can be problematic for complex</w:t>
      </w:r>
      <w:r w:rsidR="000D1025" w:rsidRPr="00553649">
        <w:rPr>
          <w:rFonts w:ascii="Times New Roman" w:hAnsi="Times New Roman" w:cs="Times New Roman"/>
        </w:rPr>
        <w:t>, environmentally derived</w:t>
      </w:r>
      <w:r w:rsidRPr="00553649">
        <w:rPr>
          <w:rFonts w:ascii="Times New Roman" w:hAnsi="Times New Roman" w:cs="Times New Roman"/>
        </w:rPr>
        <w:t xml:space="preserve"> microbiomes with diverse associations and fidelity </w:t>
      </w:r>
      <w:r w:rsidR="00C02BDC"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{"citationID":"a475vhu7da","properties":{"formattedCitation":"(O\\uc0\\u8217{}Brien et al., 2019)","plainCitation":"(O’Brien et al., 2019)","noteIndex":0},"citationItems":[{"id":146,"uris":["http://zotero.org/users/6401767/items/2A8QS3Y3"],"itemData":{"id":146,"type":"article-journal","abstract":"Marine invertebrates often host diverse microbial communities, making it difﬁcult to identify important symbionts and to understand how these communities are structured. This complexity has also made it challenging to assign microbial functions and to unravel the myriad of interactions among the microbiota. Here we propose to address these issues by applying evidence from model systems of hostmicrobe coevolution to complex marine invertebrate microbiomes. Coevolution is the reciprocal adaptation of one lineage in response to another and can occur through the interaction of a host and its beneﬁcial symbiont. A classic indicator of coevolution is codivergence of host and microbe, and evidence of this is found in both corals and sponges. Metabolic collaboration between host and microbe is often linked to codivergence and appears likely in complex holobionts, where microbial symbionts can interact with host cells through production and degradation of metabolic compounds. Neutral models are also useful to distinguish selected microbes against a background population consisting predominately of random associates. Enhanced understanding of the interactions between marine invertebrates and their microbial communities is urgently required as coral reefs face unprecedented local and global pressures and as active restoration approaches, including manipulation of the microbiome, are proposed to improve the health and tolerance of reef species. On the basis of a detailed review of the literature, we propose three research criteria for examining coevolution in marine invertebrates: (i) identifying stochastic and deterministic components of the microbiome, (ii) assessing codivergence of host and microbe, and (iii) conﬁrming the intimate association based on shared metabolic function.","container-title":"mBio","DOI":"10.1128/mBio.02241-18","ISSN":"2150-7511","issue":"1","journalAbbreviation":"mBio","language":"en","page":"e02241-18, /mbio/10/1/mBio.02241-18.atom","source":"DOI.org (Crossref)","title":"Host-Microbe Coevolution: Applying Evidence from Model Systems to Complex Marine Invertebrate Holobionts","title-short":"Host-Microbe Coevolution","volume":"10","author":[{"family":"O’Brien","given":"Paul A."},{"family":"Webster","given":"Nicole S."},{"family":"Miller","given":"David J."},{"family":"Bourne","given":"David G."}],"editor":[{"family":"Garsin","given":"Danielle A."}],"issued":{"date-parts":[["2019",2,5]]}}}],"schema":"https://github.com/citation-style-language/schema/raw/master/csl-citation.json"} </w:instrText>
      </w:r>
      <w:r w:rsidR="00C02BDC" w:rsidRPr="00553649">
        <w:rPr>
          <w:rFonts w:ascii="Times New Roman" w:hAnsi="Times New Roman" w:cs="Times New Roman"/>
        </w:rPr>
        <w:fldChar w:fldCharType="separate"/>
      </w:r>
      <w:r w:rsidR="004D2321" w:rsidRPr="004D2321">
        <w:rPr>
          <w:rFonts w:ascii="Times New Roman" w:hAnsi="Times New Roman" w:cs="Times New Roman"/>
        </w:rPr>
        <w:t>(O’Brien et al., 2019)</w:t>
      </w:r>
      <w:r w:rsidR="00C02BDC" w:rsidRPr="00553649">
        <w:rPr>
          <w:rFonts w:ascii="Times New Roman" w:hAnsi="Times New Roman" w:cs="Times New Roman"/>
        </w:rPr>
        <w:fldChar w:fldCharType="end"/>
      </w:r>
      <w:r w:rsidR="00C02BDC" w:rsidRPr="00553649">
        <w:rPr>
          <w:rFonts w:ascii="Times New Roman" w:hAnsi="Times New Roman" w:cs="Times New Roman"/>
        </w:rPr>
        <w:t>.</w:t>
      </w:r>
      <w:r w:rsidR="00393E9C" w:rsidRPr="00553649">
        <w:rPr>
          <w:rFonts w:ascii="Times New Roman" w:hAnsi="Times New Roman" w:cs="Times New Roman"/>
        </w:rPr>
        <w:t xml:space="preserve"> </w:t>
      </w:r>
      <w:r w:rsidR="00B31203" w:rsidRPr="00553649">
        <w:rPr>
          <w:rFonts w:ascii="Times New Roman" w:hAnsi="Times New Roman" w:cs="Times New Roman"/>
        </w:rPr>
        <w:t>Animal h</w:t>
      </w:r>
      <w:r w:rsidRPr="00553649">
        <w:rPr>
          <w:rFonts w:ascii="Times New Roman" w:hAnsi="Times New Roman" w:cs="Times New Roman"/>
        </w:rPr>
        <w:t xml:space="preserve">osts exhibit vast </w:t>
      </w:r>
      <w:r w:rsidR="003342A8">
        <w:rPr>
          <w:rFonts w:ascii="Times New Roman" w:hAnsi="Times New Roman" w:cs="Times New Roman"/>
        </w:rPr>
        <w:t>range of symbiotic relationships</w:t>
      </w:r>
      <w:r w:rsidRPr="00553649">
        <w:rPr>
          <w:rFonts w:ascii="Times New Roman" w:hAnsi="Times New Roman" w:cs="Times New Roman"/>
        </w:rPr>
        <w:t xml:space="preserve">, ranging from inconsequential communities lacking residency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{"citationID":"3I6Gj9qH","properties":{"formattedCitation":"(Hammer et al., 2017)","plainCitation":"(Hammer et al., 2017)","noteIndex":0},"citationItems":[{"id":506,"uris":["http://zotero.org/users/6401767/items/VKHLC2ZK"],"itemData":{"id":506,"type":"article-journal","abstract":"Many animals are inhabited by microbial symbionts that influence their hosts’ development, physiology, ecological interactions, and evolutionary diversification. However, firm evidence for the existence and functional importance of resident microbiomes in larval Lepidoptera (caterpillars) is lacking, despite the fact that these insects are enormously diverse, major agricultural pests, and dominant herbivores in many ecosystems. Using 16S rRNA gene sequencing and quantitative PCR, we characterized the gut microbiomes of wild leaf-feeding caterpillars in the United States and Costa Rica, representing 124 species from 15 families. Compared with other insects and vertebrates assayed using the same methods, the microbes that we detected in caterpillar guts were unusually low-density and variable among individuals. Furthermore, the abundance and composition of leaf-associated microbes were reflected in the feces of caterpillars consuming the same plants. Thus, microbes ingested with food are present (although possibly dead or dormant) in the caterpillar gut, but host-specific, resident symbionts are largely absent. To test whether transient microbes might still contribute to feeding and development, we conducted an experiment on field-collected caterpillars of the model species\n              Manduca sexta\n              . Antibiotic suppression of gut bacterial activity did not significantly affect caterpillar weight gain, development, or survival. The high pH, simple gut structure, and fast transit times that typify caterpillar digestive physiology may prevent microbial colonization. Moreover, host-encoded digestive and detoxification mechanisms likely render microbes unnecessary for caterpillar herbivory. Caterpillars illustrate the potential ecological and evolutionary benefits of independence from symbionts, a lifestyle that may be widespread among animals.","container-title":"Proceedings of the National Academy of Sciences","DOI":"10.1073/pnas.1707186114","ISSN":"0027-8424, 1091-6490","issue":"36","journalAbbreviation":"Proc Natl Acad Sci USA","language":"en","page":"9641-9646","source":"DOI.org (Crossref)","title":"Caterpillars lack a resident gut microbiome","volume":"114","author":[{"family":"Hammer","given":"Tobin J."},{"family":"Janzen","given":"Daniel H."},{"family":"Hallwachs","given":"Winnie"},{"family":"Jaffe","given":"Samuel P."},{"family":"Fierer","given":"Noah"}],"issued":{"date-parts":[["2017",9,5]]}}}],"schema":"https://github.com/citation-style-language/schema/raw/master/csl-citation.json"}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(Hammer et al., 2017)</w:t>
      </w:r>
      <w:r w:rsidRPr="00553649">
        <w:rPr>
          <w:rFonts w:ascii="Times New Roman" w:hAnsi="Times New Roman" w:cs="Times New Roman"/>
        </w:rPr>
        <w:fldChar w:fldCharType="end"/>
      </w:r>
      <w:r w:rsidRPr="00553649">
        <w:rPr>
          <w:rFonts w:ascii="Times New Roman" w:hAnsi="Times New Roman" w:cs="Times New Roman"/>
        </w:rPr>
        <w:t xml:space="preserve"> to </w:t>
      </w:r>
      <w:r w:rsidR="003342A8">
        <w:rPr>
          <w:rFonts w:ascii="Times New Roman" w:hAnsi="Times New Roman" w:cs="Times New Roman"/>
        </w:rPr>
        <w:t xml:space="preserve">those </w:t>
      </w:r>
      <w:r w:rsidR="00B31203" w:rsidRPr="00553649">
        <w:rPr>
          <w:rFonts w:ascii="Times New Roman" w:hAnsi="Times New Roman" w:cs="Times New Roman"/>
        </w:rPr>
        <w:t>pertinent</w:t>
      </w:r>
      <w:r w:rsidR="002D11DA" w:rsidRPr="00553649">
        <w:rPr>
          <w:rFonts w:ascii="Times New Roman" w:hAnsi="Times New Roman" w:cs="Times New Roman"/>
        </w:rPr>
        <w:t xml:space="preserve"> for</w:t>
      </w:r>
      <w:r w:rsidR="00EE7DAC" w:rsidRPr="00553649">
        <w:rPr>
          <w:rFonts w:ascii="Times New Roman" w:hAnsi="Times New Roman" w:cs="Times New Roman"/>
        </w:rPr>
        <w:t xml:space="preserve"> </w:t>
      </w:r>
      <w:r w:rsidR="00E05742" w:rsidRPr="00553649">
        <w:rPr>
          <w:rFonts w:ascii="Times New Roman" w:hAnsi="Times New Roman" w:cs="Times New Roman"/>
        </w:rPr>
        <w:t xml:space="preserve">dietary capabilities </w:t>
      </w:r>
      <w:r w:rsidR="00E05742" w:rsidRPr="00553649">
        <w:rPr>
          <w:rFonts w:ascii="Times New Roman" w:hAnsi="Times New Roman" w:cs="Times New Roman"/>
        </w:rPr>
        <w:lastRenderedPageBreak/>
        <w:t xml:space="preserve">and niche </w:t>
      </w:r>
      <w:r w:rsidR="00E05702" w:rsidRPr="00553649">
        <w:rPr>
          <w:rFonts w:ascii="Times New Roman" w:hAnsi="Times New Roman" w:cs="Times New Roman"/>
        </w:rPr>
        <w:t>expansion</w:t>
      </w:r>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{"citationID":"a1h4dsa5bn8","properties":{"formattedCitation":"(Kohl et al., 2016)","plainCitation":"(Kohl et al., 2016)","noteIndex":0},"citationItems":[{"id":349,"uris":["http://zotero.org/users/6401767/items/RJJZ4H5H"],"itemData":{"id":349,"type":"article-journal","abstract":"It has been hypothesized that herbivores host tannindegrading bacteria (TDB) to overcome the toxic challenges posed by plant tannins. While TDB have been isolated from the guts of numerous mammals, their functional signiﬁcance to their hosts has never been explicitly tested. We introduced TDB into lab rats, which do not host TDB, and measured host performance on tannin-rich diets. We ﬁrst isolated three species of TDB, Escherichia coli, Bacillus subtilis and Enterococcus faecalis, from the guts of the desert woodrat (Neotoma lepida), which regularly feeds on tannin-rich plants. Then, we inoculated isolated TDB, as well as full woodrat microbial communities into laboratory rats. A control group was inoculated with sterilized woodrat faeces. Recipient lab rats were fed increasing concentrations of tannic acid, and we monitored tannic acid intake, body mass and liver damage as measured by serum alanine aminotransferase activity. Lab rats given TDB as isolates or full communities exhibited increased tannic acid intake, higher maintenance of body mass and lower indicators of liver damage compared with control animals. These differences were maintained when the trial was repeated after 6 weeks of feeding on tannin-free diets. Our results are the ﬁrst to demonstrate that TDB signiﬁcantly increase host performance on tannin-rich diets.","container-title":"Environmental Microbiology","DOI":"10.1111/1462-2920.12841","ISSN":"1462-2912, 1462-2920","issue":"6","journalAbbreviation":"Environmental Microbiology","language":"en","page":"1720-1729","source":"DOI.org (Crossref)","title":"Inoculation of tannin‐degrading bacteria into novel hosts increases performance on tannin‐rich diets","volume":"18","author":[{"family":"Kohl","given":"Kevin D."},{"family":"Stengel","given":"Ashley"},{"family":"Dearing","given":"M. Denise"}],"issued":{"date-parts":[["2016",6]]}}}],"schema":"https://github.com/citation-style-language/schema/raw/master/csl-citation.json"}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(Kohl et al., 2016)</w:t>
      </w:r>
      <w:r w:rsidRPr="00553649">
        <w:rPr>
          <w:rFonts w:ascii="Times New Roman" w:hAnsi="Times New Roman" w:cs="Times New Roman"/>
        </w:rPr>
        <w:fldChar w:fldCharType="end"/>
      </w:r>
      <w:r w:rsidRPr="00553649">
        <w:rPr>
          <w:rFonts w:ascii="Times New Roman" w:hAnsi="Times New Roman" w:cs="Times New Roman"/>
        </w:rPr>
        <w:t xml:space="preserve">. </w:t>
      </w:r>
      <w:r w:rsidR="002D11DA" w:rsidRPr="00553649">
        <w:rPr>
          <w:rFonts w:ascii="Times New Roman" w:hAnsi="Times New Roman" w:cs="Times New Roman"/>
        </w:rPr>
        <w:t xml:space="preserve">Similarly, </w:t>
      </w:r>
      <w:r w:rsidR="00FD1697" w:rsidRPr="00553649">
        <w:rPr>
          <w:rFonts w:ascii="Times New Roman" w:hAnsi="Times New Roman" w:cs="Times New Roman"/>
        </w:rPr>
        <w:t xml:space="preserve">while metabolically active, most microbes </w:t>
      </w:r>
      <w:r w:rsidR="00063AA7">
        <w:rPr>
          <w:rFonts w:ascii="Times New Roman" w:hAnsi="Times New Roman" w:cs="Times New Roman"/>
        </w:rPr>
        <w:t>appear to have</w:t>
      </w:r>
      <w:r w:rsidR="00FD1697" w:rsidRPr="00553649">
        <w:rPr>
          <w:rFonts w:ascii="Times New Roman" w:hAnsi="Times New Roman" w:cs="Times New Roman"/>
        </w:rPr>
        <w:t xml:space="preserve"> neutral associations with host</w:t>
      </w:r>
      <w:r w:rsidR="00B31203" w:rsidRPr="00553649">
        <w:rPr>
          <w:rFonts w:ascii="Times New Roman" w:hAnsi="Times New Roman" w:cs="Times New Roman"/>
        </w:rPr>
        <w:t xml:space="preserve">, implying </w:t>
      </w:r>
      <w:r w:rsidR="00FD1697" w:rsidRPr="00553649">
        <w:rPr>
          <w:rFonts w:ascii="Times New Roman" w:hAnsi="Times New Roman" w:cs="Times New Roman"/>
        </w:rPr>
        <w:t>c</w:t>
      </w:r>
      <w:r w:rsidRPr="00553649">
        <w:rPr>
          <w:rFonts w:ascii="Times New Roman" w:hAnsi="Times New Roman" w:cs="Times New Roman"/>
        </w:rPr>
        <w:t>omplex m</w:t>
      </w:r>
      <w:r w:rsidR="009924C4" w:rsidRPr="00553649">
        <w:rPr>
          <w:rFonts w:ascii="Times New Roman" w:hAnsi="Times New Roman" w:cs="Times New Roman"/>
        </w:rPr>
        <w:t xml:space="preserve">icrobiomes </w:t>
      </w:r>
      <w:r w:rsidRPr="00553649">
        <w:rPr>
          <w:rFonts w:ascii="Times New Roman" w:hAnsi="Times New Roman" w:cs="Times New Roman"/>
        </w:rPr>
        <w:t>likely exhibit weak, if any, partner fidelity</w:t>
      </w:r>
      <w:r w:rsidR="00BA7BE3">
        <w:rPr>
          <w:rFonts w:ascii="Times New Roman" w:hAnsi="Times New Roman" w:cs="Times New Roman"/>
        </w:rPr>
        <w:t xml:space="preserve"> </w:t>
      </w:r>
      <w:r w:rsidR="00A00364">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{"citationID":"a2lng2ukq05","properties":{"formattedCitation":"(Sieber et al., 2019)","plainCitation":"(Sieber et al., 2019)","noteIndex":0},"citationItems":[{"id":1872,"uris":["http://zotero.org/users/6401767/items/RRZMWVWD"],"itemData":{"id":1872,"type":"article-journal","abstract":"Almost all animals and plants are inhabited by diverse communities of microorganisms, the microbiota, thereby forming an integrated entity, the metaorganism. Natural selection should favor hosts that shape the community composition of these microbes to promote a beneficial host-microbe symbiosis. Indeed, animal hosts often pose selective environments, which only a subset of the environmentally available microbes are able to colonize. How these microbes assemble after colonization to form the complex microbiota is less clear. Neutral models are based on the assumption that the alternatives in microbiota community composition are selectively equivalent and thus entirely shaped by random population dynamics and dispersal. Here, we use the neutral model as a null hypothesis to assess microbiata composition in host organisms, which does not rely on invoking any adaptive processes underlying microbial community assembly. We show that the overall microbiota community structure from a wide range of host organisms, in particular including previously understudied invertebrates, is in many cases consistent with neutral expectations. Our approach allows to identify individual microbes that are deviating from the neutral expectation and are therefore interesting candidates for further study. Moreover, using simulated communities, we demonstrate that transient community states may play a role in the deviations from the neutral expectation. Our findings highlight that the consideration of neutral processes and temporal changes in community composition are critical for an in-depth understanding of microbiota-host interactions., A study of microbiome compositions from many animal host species across the tree of life reveals them to be consistent with neutral expectations, suggesting that after colonization, neutral processes and dispersal play a role in shaping host-associated microbial communities.","container-title":"PLoS Biology","DOI":"10.1371/journal.pbio.3000298","ISSN":"1544-9173","issue":"6","journalAbbreviation":"PLoS Biol","note":"PMID: 31216282\nPMCID: PMC6583948","page":"e3000298","source":"PubMed Central","title":"Neutrality in the Metaorganism","volume":"17","author":[{"family":"Sieber","given":"Michael"},{"family":"Pita","given":"Lucía"},{"family":"Weiland-Bräuer","given":"Nancy"},{"family":"Dirksen","given":"Philipp"},{"family":"Wang","given":"Jun"},{"family":"Mortzfeld","given":"Benedikt"},{"family":"Franzenburg","given":"Sören"},{"family":"Schmitz","given":"Ruth A."},{"family":"Baines","given":"John F."},{"family":"Fraune","given":"Sebastian"},{"family":"Hentschel","given":"Ute"},{"family":"Schulenburg","given":"Hinrich"},{"family":"Bosch","given":"Thomas C. G."},{"family":"Traulsen","given":"Arne"}],"issued":{"date-parts":[["2019",6,19]]}}}],"schema":"https://github.com/citation-style-language/schema/raw/master/csl-citation.json"} </w:instrText>
      </w:r>
      <w:r w:rsidR="00A00364">
        <w:rPr>
          <w:rFonts w:ascii="Times New Roman" w:hAnsi="Times New Roman" w:cs="Times New Roman"/>
        </w:rPr>
        <w:fldChar w:fldCharType="separate"/>
      </w:r>
      <w:r w:rsidR="004D2321">
        <w:rPr>
          <w:rFonts w:ascii="Times New Roman" w:hAnsi="Times New Roman" w:cs="Times New Roman"/>
        </w:rPr>
        <w:t>(Sieber et al., 2019)</w:t>
      </w:r>
      <w:r w:rsidR="00A00364">
        <w:rPr>
          <w:rFonts w:ascii="Times New Roman" w:hAnsi="Times New Roman" w:cs="Times New Roman"/>
        </w:rPr>
        <w:fldChar w:fldCharType="end"/>
      </w:r>
      <w:r w:rsidR="00B31203" w:rsidRPr="00553649">
        <w:rPr>
          <w:rFonts w:ascii="Times New Roman" w:hAnsi="Times New Roman" w:cs="Times New Roman"/>
        </w:rPr>
        <w:t xml:space="preserve">. In these scenarios, </w:t>
      </w:r>
      <w:r w:rsidR="002D11DA" w:rsidRPr="00553649">
        <w:rPr>
          <w:rFonts w:ascii="Times New Roman" w:hAnsi="Times New Roman" w:cs="Times New Roman"/>
        </w:rPr>
        <w:t xml:space="preserve">host or bacterial benefits </w:t>
      </w:r>
      <w:r w:rsidR="00067F5F" w:rsidRPr="00553649">
        <w:rPr>
          <w:rFonts w:ascii="Times New Roman" w:hAnsi="Times New Roman" w:cs="Times New Roman"/>
        </w:rPr>
        <w:t xml:space="preserve">could </w:t>
      </w:r>
      <w:r w:rsidR="0000526E" w:rsidRPr="00553649">
        <w:rPr>
          <w:rFonts w:ascii="Times New Roman" w:hAnsi="Times New Roman" w:cs="Times New Roman"/>
        </w:rPr>
        <w:t>be</w:t>
      </w:r>
      <w:r w:rsidR="002D11DA" w:rsidRPr="00553649">
        <w:rPr>
          <w:rFonts w:ascii="Times New Roman" w:hAnsi="Times New Roman" w:cs="Times New Roman"/>
        </w:rPr>
        <w:t xml:space="preserve"> gained through diffuse associations rather than specialization</w:t>
      </w:r>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{"citationID":"VhhKNMCn","properties":{"formattedCitation":"(A. E. Douglas &amp; Werren, 2016)","plainCitation":"(A. E. Douglas &amp; Werren, 2016)","noteIndex":0},"citationItems":[{"id":145,"uris":["http://zotero.org/users/6401767/items/9XWITCC8"],"itemData":{"id":145,"type":"article-journal","abstract":"The advent of relatively inexpensive tools for characterizing microbial communities has led to an explosion of research exploring the diversity, ecology, and evolution of microbe-host systems. Some now question whether existing conceptual frameworks are adequate to explain microbe-host systems. One popular paradigm is the “holobiont-hologenome,” which argues that a host and its microbiome evolve as a single cooperative unit of selection (i.e., a superorganism). We argue that the hologenome is based on overly restrictive assumptions which render it an approach of little research utility. A host plus its microbiome is more effectively viewed as an ecological community of organisms that encompasses a broad range of interactions (parasitic to mutualistic), patterns of transmission (horizontal to vertical), and levels of ﬁdelity among partners. The hologenome requires high partner ﬁdelity if it is to evolve as a unit. However, even when this is achieved by particular host-microbe pairs, it is unlikely to hold for the entire host microbiome, and therefore the community is unlikely to evolve as a hologenome. Both mutualistic and antagonistic (ﬁtness conﬂict) evolution can occur among constituent members of the community, not just adaptations at the “hologenome” level, and there is abundant empirical evidence for such divergence of selective interests among members of host-microbiome communities. We believe that the concepts and methods of ecology, genetics, and evolutionary biology will continue to provide a well-grounded intellectual framework for researching host-microbiome communities, without recourse to the limiting assumption that selection acts predominantly at the holobiont level.","container-title":"mBio","DOI":"10.1128/mBio.02099-15","ISSN":"2150-7511","issue":"2","journalAbbreviation":"mBio","language":"en","page":"e02099-15, /mbio/7/2/e02099-15.atom","source":"DOI.org (Crossref)","title":"Holes in the Hologenome: Why Host-Microbe Symbioses Are Not Holobionts","title-short":"Holes in the Hologenome","volume":"7","author":[{"family":"Douglas","given":"Angela E."},{"family":"Werren","given":"John H."}],"issued":{"date-parts":[["2016",5,4]]}}}],"schema":"https://github.com/citation-style-language/schema/raw/master/csl-citation.json"}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(A. E. Douglas &amp; Werren, 2016)</w:t>
      </w:r>
      <w:r w:rsidRPr="00553649">
        <w:rPr>
          <w:rFonts w:ascii="Times New Roman" w:hAnsi="Times New Roman" w:cs="Times New Roman"/>
        </w:rPr>
        <w:fldChar w:fldCharType="end"/>
      </w:r>
      <w:r w:rsidRPr="00553649">
        <w:rPr>
          <w:rFonts w:ascii="Times New Roman" w:hAnsi="Times New Roman" w:cs="Times New Roman"/>
        </w:rPr>
        <w:t xml:space="preserve">. </w:t>
      </w:r>
      <w:r w:rsidR="002D11DA" w:rsidRPr="00553649">
        <w:rPr>
          <w:rFonts w:ascii="Times New Roman" w:hAnsi="Times New Roman" w:cs="Times New Roman"/>
        </w:rPr>
        <w:t>As a result</w:t>
      </w:r>
      <w:r w:rsidRPr="00553649">
        <w:rPr>
          <w:rFonts w:ascii="Times New Roman" w:hAnsi="Times New Roman" w:cs="Times New Roman"/>
        </w:rPr>
        <w:t xml:space="preserve">, a more testable framework for complex communities is to view host-associated </w:t>
      </w:r>
      <w:r w:rsidR="00BA5C7D">
        <w:rPr>
          <w:rFonts w:ascii="Times New Roman" w:hAnsi="Times New Roman" w:cs="Times New Roman"/>
        </w:rPr>
        <w:t>assemblages (microbiomes)</w:t>
      </w:r>
      <w:r w:rsidRPr="00553649">
        <w:rPr>
          <w:rFonts w:ascii="Times New Roman" w:hAnsi="Times New Roman" w:cs="Times New Roman"/>
        </w:rPr>
        <w:t xml:space="preserve"> as ecological communit</w:t>
      </w:r>
      <w:r w:rsidR="00BA5C7D">
        <w:rPr>
          <w:rFonts w:ascii="Times New Roman" w:hAnsi="Times New Roman" w:cs="Times New Roman"/>
        </w:rPr>
        <w:t>ies</w:t>
      </w:r>
      <w:r w:rsidRPr="00553649">
        <w:rPr>
          <w:rFonts w:ascii="Times New Roman" w:hAnsi="Times New Roman" w:cs="Times New Roman"/>
        </w:rPr>
        <w:t xml:space="preserve"> influenced by the relative strengths of host traits, microbial interactions, and environmental colonization. This does not downplay the potential role of symbiont contribution to host behavior, immunity, reproduction, and physiology, but acknowledges the complex ecological and evolutionary dynamics within and between host-associated communities.</w:t>
      </w:r>
    </w:p>
    <w:p w14:paraId="29CB8531" w14:textId="4D07C3FA" w:rsidR="000B041F" w:rsidRPr="00553649" w:rsidRDefault="007C7BE3" w:rsidP="000B041F">
      <w:pPr>
        <w:spacing w:line="360" w:lineRule="auto"/>
        <w:ind w:firstLine="720"/>
        <w:rPr>
          <w:rFonts w:ascii="Times New Roman" w:hAnsi="Times New Roman" w:cs="Times New Roman"/>
        </w:rPr>
      </w:pPr>
      <w:r w:rsidRPr="00553649">
        <w:rPr>
          <w:rFonts w:ascii="Times New Roman" w:hAnsi="Times New Roman" w:cs="Times New Roman"/>
        </w:rPr>
        <w:t xml:space="preserve">Amphibians are a compelling model for studying external symbiotic communities. </w:t>
      </w:r>
      <w:r w:rsidR="00BA5C7D">
        <w:rPr>
          <w:rFonts w:ascii="Times New Roman" w:hAnsi="Times New Roman" w:cs="Times New Roman"/>
        </w:rPr>
        <w:t>Ecological and physiologically resembling the</w:t>
      </w:r>
      <w:r w:rsidRPr="00553649">
        <w:rPr>
          <w:rFonts w:ascii="Times New Roman" w:hAnsi="Times New Roman" w:cs="Times New Roman"/>
        </w:rPr>
        <w:t xml:space="preserve"> earliest colonizers of land, amphibian porous skin is in constant contact with their environment. Copious secretory glands cover the integument, interacting with residing and colonizing microbes. Additionally, the skin microbiome, in tandem with host secretory profiles, acts as the first line of immune defense and </w:t>
      </w:r>
      <w:r w:rsidR="0006656F" w:rsidRPr="00553649">
        <w:rPr>
          <w:rFonts w:ascii="Times New Roman" w:hAnsi="Times New Roman" w:cs="Times New Roman"/>
        </w:rPr>
        <w:t>can inhibit</w:t>
      </w:r>
      <w:r w:rsidRPr="00553649">
        <w:rPr>
          <w:rFonts w:ascii="Times New Roman" w:hAnsi="Times New Roman" w:cs="Times New Roman"/>
        </w:rPr>
        <w:t xml:space="preserve"> the growth of fungal pathogens </w:t>
      </w:r>
      <w:r w:rsidRPr="00553649">
        <w:rPr>
          <w:rFonts w:ascii="Times New Roman" w:hAnsi="Times New Roman" w:cs="Times New Roman"/>
          <w:i/>
          <w:iCs/>
        </w:rPr>
        <w:t xml:space="preserve">Batrachochytrium </w:t>
      </w:r>
      <w:proofErr w:type="spellStart"/>
      <w:r w:rsidRPr="00553649">
        <w:rPr>
          <w:rFonts w:ascii="Times New Roman" w:hAnsi="Times New Roman" w:cs="Times New Roman"/>
          <w:i/>
          <w:iCs/>
        </w:rPr>
        <w:t>dendrobatidis</w:t>
      </w:r>
      <w:proofErr w:type="spellEnd"/>
      <w:r w:rsidRPr="00553649">
        <w:rPr>
          <w:rFonts w:ascii="Times New Roman" w:hAnsi="Times New Roman" w:cs="Times New Roman"/>
        </w:rPr>
        <w:t xml:space="preserve"> and </w:t>
      </w:r>
      <w:r w:rsidRPr="00553649">
        <w:rPr>
          <w:rFonts w:ascii="Times New Roman" w:hAnsi="Times New Roman" w:cs="Times New Roman"/>
          <w:i/>
          <w:iCs/>
        </w:rPr>
        <w:t xml:space="preserve">Batrachochytrium </w:t>
      </w:r>
      <w:proofErr w:type="spellStart"/>
      <w:r w:rsidRPr="00553649">
        <w:rPr>
          <w:rFonts w:ascii="Times New Roman" w:hAnsi="Times New Roman" w:cs="Times New Roman"/>
          <w:i/>
          <w:iCs/>
        </w:rPr>
        <w:t>salamandrivorans</w:t>
      </w:r>
      <w:proofErr w:type="spellEnd"/>
      <w:r w:rsidRPr="00553649">
        <w:rPr>
          <w:rFonts w:ascii="Times New Roman" w:hAnsi="Times New Roman" w:cs="Times New Roman"/>
        </w:rPr>
        <w:t xml:space="preserve"> </w:t>
      </w:r>
      <w:r w:rsidR="0006656F">
        <w:rPr>
          <w:rFonts w:ascii="Times New Roman" w:hAnsi="Times New Roman" w:cs="Times New Roman"/>
        </w:rPr>
        <w:t xml:space="preserve">in </w:t>
      </w:r>
      <w:r w:rsidRPr="00553649">
        <w:rPr>
          <w:rFonts w:ascii="Times New Roman" w:hAnsi="Times New Roman" w:cs="Times New Roman"/>
        </w:rPr>
        <w:t xml:space="preserve">laboratory </w:t>
      </w:r>
      <w:r w:rsidR="0006656F">
        <w:rPr>
          <w:rFonts w:ascii="Times New Roman" w:hAnsi="Times New Roman" w:cs="Times New Roman"/>
        </w:rPr>
        <w:t>assays</w:t>
      </w:r>
      <w:r w:rsidRPr="00553649">
        <w:rPr>
          <w:rFonts w:ascii="Times New Roman" w:hAnsi="Times New Roman" w:cs="Times New Roman"/>
        </w:rPr>
        <w:t xml:space="preserve">. More recent discoveries have found symbionts are capable of </w:t>
      </w:r>
      <w:r w:rsidR="00BA5C7D">
        <w:rPr>
          <w:rFonts w:ascii="Times New Roman" w:hAnsi="Times New Roman" w:cs="Times New Roman"/>
        </w:rPr>
        <w:t>toxin</w:t>
      </w:r>
      <w:r w:rsidRPr="00553649">
        <w:rPr>
          <w:rFonts w:ascii="Times New Roman" w:hAnsi="Times New Roman" w:cs="Times New Roman"/>
        </w:rPr>
        <w:t xml:space="preserve"> production in unpalatable newts and sex-specific methoxypyrazines in frogs, revealing potential evolutionary ties and links to host fitness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{"citationID":"9EGUYF8b","properties":{"formattedCitation":"(Brunetti et al., 2019, 2022; Vaelli et al., 2020)","plainCitation":"(Brunetti et al., 2019, 2022; Vaelli et al., 2020)","noteIndex":0},"citationItems":[{"id":162,"uris":["http://zotero.org/users/6401767/items/DU2JAHLN"],"itemData":{"id":162,"type":"article-journal","abstract":"Amphibians are known to possess a wide variety of compounds stored in their skin glands. While significant progress has been made in understanding the chemical diversity and biological relevance of alkaloids, amines, steroids, and peptides, most aspects of the odorous secretions are completely unknown. In this study, we examined sexual variations in the volatile profile from the skin of the tree frog Boana prasina and combined culture and culture-independent methods to investigate if microorganisms might be a source of these compounds. We found that sesquiterpenes, thioethers, and methoxypyrazines are major contributors to the observed sex differences. We also observed that each sex has a distinct profile of methoxypyrazines, and that the chemical origin of these compounds can be traced to a Pseudomonas sp. strain isolated from the frog’s skin. This symbiotic bacterium was present in almost all individuals examined from different sites and was maintained in captive conditions, supporting its significance as the source of methoxypyrazines in these frogs. Our results highlight the potential relevance of bacteria as a source of chemical signals in amphibians and contribute to increasing our understanding of the role that symbiotic associations have in animals.","container-title":"Proceedings of the National Academy of Sciences","DOI":"10.1073/pnas.1806834116","ISSN":"0027-8424, 1091-6490","issue":"6","journalAbbreviation":"PNAS","language":"en","license":"© 2019 . https://www.pnas.org/site/aboutpnas/licenses.xhtmlPublished under the PNAS license.","note":"publisher: National Academy of Sciences\nsection: Biological Sciences\nPMID: 30670649","page":"2124-2129","source":"www.pnas.org","title":"Symbiotic skin bacteria as a source for sex-specific scents in frogs","volume":"116","author":[{"family":"Brunetti","given":"Andrés E."},{"family":"Lyra","given":"Mariana L."},{"family":"Melo","given":"Weilan G. P."},{"family":"Andrade","given":"Laura E."},{"family":"Palacios-Rodríguez","given":"Pablo"},{"family":"Prado","given":"Bárbara M."},{"family":"Haddad","given":"Célio F. B."},{"family":"Pupo","given":"Mônica T."},{"family":"Lopes","given":"Norberto P."}],"issued":{"date-parts":[["2019",2,5]]}}},{"id":255,"uris":["http://zotero.org/users/6401767/items/EYDY759D"],"itemData":{"id":255,"type":"article-journal","abstract":"The molecular bases for the symbiosis of the amphibian skin microbiome with its host are poorly understood. Here, we used the odor-producer Pseudomonas sp. MPFS and the treefrog Boana prasina as a model to explore bacterial genome determinants and the resulting mechanisms facilitating symbiosis. Pseudomonas sp. MPFS and its closest relatives, within a new clade of the P. fluoresens Group, have large genomes and were isolated from fishes and plants, suggesting environmental plasticity. We annotated 16 biosynthetic gene clusters from the complete genome sequence of this strain, including those encoding the synthesis of compounds with known antifungal activity and of odorous methoxypyrazines that likely mediate sexual interactions in Boana prasina. Comparative genomics of Pseudomonas also revealed that Pseudomonas sp. MPFS and its closest relatives have acquired specific resistance mechanisms against host antimicrobial peptides (AMPs), specifically two extra copies of a multidrug efflux pump and the same two-component regulatory systems known to trigger adaptive resistance to AMPs in P. aeruginosa. Subsequent molecular modeling indicated that these regulatory systems interact with an AMP identified in Boana prasina through the highly acidic surfaces of the proteins comprising their sensory domains. In agreement with a symbiotic relationship and a highly selective antibacterial function, this AMP did not inhibit the growth of Pseudomonas sp. MPFS but inhibited the growth of another Pseudomonas species and Escherichia coli in laboratory tests. This study provides deeper insights into the molecular interaction of the bacteria-amphibian symbiosis and highlights the role of specific adaptive resistance toward AMPs of the hosts.","container-title":"The ISME Journal","DOI":"10.1038/s41396-021-01121-7","ISSN":"1751-7370","issue":"3","journalAbbreviation":"ISME J","language":"en","license":"2021 The Author(s), under exclusive licence to International Society for Microbial Ecology","note":"number: 3\npublisher: Nature Publishing Group","page":"788-800","source":"www.nature.com","title":"Molecular basis of a bacterial-amphibian symbiosis revealed by comparative genomics, modeling, and functional testing","volume":"16","author":[{"family":"Brunetti","given":"Andrés E."},{"family":"Bunk","given":"Boyke"},{"family":"Lyra","given":"Mariana L."},{"family":"Fuzo","given":"Carlos A."},{"family":"Marani","given":"Mariela M."},{"family":"Spröer","given":"Cathrin"},{"family":"Haddad","given":"Célio F. B."},{"family":"Lopes","given":"Norberto P."},{"family":"Overmann","given":"Jörg"}],"issued":{"date-parts":[["2022",3]]}}},{"id":163,"uris":["http://zotero.org/users/6401767/items/9IE7APBV"],"itemData":{"id":163,"type":"article-journal","abstract":"Rough-skinned newts (Taricha granulosa) use tetrodotoxin (TTX) to block voltage-gated sodium (Nav) channels as a chemical defense against predation. Interestingly, newts exhibit extreme population-level variation in toxicity attributed to a coevolutionary arms race with TTX-resistant predatory snakes, but the source of TTX in newts is unknown. Here, we investigated whether symbiotic bacteria isolated from toxic newts could produce TTX. We characterized the skin-associated microbiota from a toxic and non-toxic population of newts and established pure cultures of isolated bacterial symbionts from toxic newts. We then screened bacterial culture media for TTX using LC-MS/MS and identified TTX-producing bacterial strains from four genera, including Aeromonas, Pseudomonas, Shewanella, and Sphingopyxis. Additionally, we sequenced the Nav channel gene family in toxic newts and found that newts expressed Nav channels with modified TTX binding sites, conferring extreme physiological resistance to TTX. This study highlights the complex interactions among adaptive physiology, animal-bacterial symbiosis, and ecological context.","container-title":"eLife","DOI":"10.7554/eLife.53898","ISSN":"2050-084X","note":"publisher: eLife Sciences Publications, Ltd","page":"e53898","source":"eLife","title":"The skin microbiome facilitates adaptive tetrodotoxin production in poisonous newts","volume":"9","author":[{"family":"Vaelli","given":"Patric M"},{"family":"Theis","given":"Kevin R"},{"family":"Williams","given":"Janet E"},{"family":"O'Connell","given":"Lauren A"},{"family":"Foster","given":"James A"},{"family":"Eisthen","given":"Heather L"}],"editor":[{"family":"Baldwin","given":"Ian T"},{"family":"Robert","given":"Christelle AM"},{"family":"Robert","given":"Christelle AM"},{"family":"González Montoya","given":"Mabel Cristina"}],"issued":{"date-parts":[["2020",4,7]]}}}],"schema":"https://github.com/citation-style-language/schema/raw/master/csl-citation.json"}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(Brunetti et al., 2019, 2022; Vaelli et al., 2020)</w:t>
      </w:r>
      <w:r w:rsidRPr="00553649">
        <w:rPr>
          <w:rFonts w:ascii="Times New Roman" w:hAnsi="Times New Roman" w:cs="Times New Roman"/>
        </w:rPr>
        <w:fldChar w:fldCharType="end"/>
      </w:r>
      <w:r w:rsidRPr="00553649">
        <w:rPr>
          <w:rFonts w:ascii="Times New Roman" w:hAnsi="Times New Roman" w:cs="Times New Roman"/>
        </w:rPr>
        <w:t xml:space="preserve">. However, high environmental colonization is presumed to be the dominant way in which microbes are acquired for hosts, making </w:t>
      </w:r>
      <w:r w:rsidR="00503996">
        <w:rPr>
          <w:rFonts w:ascii="Times New Roman" w:hAnsi="Times New Roman" w:cs="Times New Roman"/>
        </w:rPr>
        <w:t>host-specificity and physiological interdependency</w:t>
      </w:r>
      <w:r w:rsidRPr="00553649">
        <w:rPr>
          <w:rFonts w:ascii="Times New Roman" w:hAnsi="Times New Roman" w:cs="Times New Roman"/>
        </w:rPr>
        <w:t xml:space="preserve"> of the skin microbiome unclear in the context of host traits and ecological dynamics. This dissertation takes a high-resolution investigation of </w:t>
      </w:r>
      <w:r w:rsidR="00503996">
        <w:rPr>
          <w:rFonts w:ascii="Times New Roman" w:hAnsi="Times New Roman" w:cs="Times New Roman"/>
        </w:rPr>
        <w:t>microbes on salamander skin</w:t>
      </w:r>
      <w:r w:rsidRPr="00553649">
        <w:rPr>
          <w:rFonts w:ascii="Times New Roman" w:hAnsi="Times New Roman" w:cs="Times New Roman"/>
        </w:rPr>
        <w:t xml:space="preserve"> across aquatic and terrestrial habitats</w:t>
      </w:r>
      <w:r w:rsidR="00503996">
        <w:rPr>
          <w:rFonts w:ascii="Times New Roman" w:hAnsi="Times New Roman" w:cs="Times New Roman"/>
        </w:rPr>
        <w:t>, using paired sampling of host skin and cover object surfaces, to investigate</w:t>
      </w:r>
      <w:r w:rsidRPr="00553649">
        <w:rPr>
          <w:rFonts w:ascii="Times New Roman" w:hAnsi="Times New Roman" w:cs="Times New Roman"/>
        </w:rPr>
        <w:t xml:space="preserve"> the </w:t>
      </w:r>
      <w:r w:rsidR="00503996">
        <w:rPr>
          <w:rFonts w:ascii="Times New Roman" w:hAnsi="Times New Roman" w:cs="Times New Roman"/>
        </w:rPr>
        <w:t xml:space="preserve">ecology of microbiomes that exist at the interface between host and environment. I describe similarity and differentiation between host species before investigating the patterns of dissimilarity in terms of community assembly processes, </w:t>
      </w:r>
      <w:r w:rsidRPr="00553649">
        <w:rPr>
          <w:rFonts w:ascii="Times New Roman" w:hAnsi="Times New Roman" w:cs="Times New Roman"/>
        </w:rPr>
        <w:t xml:space="preserve">and finally explores temporal dynamics and the core microbiome concept for a migratory salamander over the course of </w:t>
      </w:r>
      <w:r w:rsidR="006740D4" w:rsidRPr="00553649">
        <w:rPr>
          <w:rFonts w:ascii="Times New Roman" w:hAnsi="Times New Roman" w:cs="Times New Roman"/>
        </w:rPr>
        <w:t>one</w:t>
      </w:r>
      <w:r w:rsidRPr="00553649">
        <w:rPr>
          <w:rFonts w:ascii="Times New Roman" w:hAnsi="Times New Roman" w:cs="Times New Roman"/>
        </w:rPr>
        <w:t xml:space="preserve"> year. </w:t>
      </w:r>
      <w:r w:rsidR="000B041F" w:rsidRPr="00553649">
        <w:rPr>
          <w:rFonts w:ascii="Times New Roman" w:hAnsi="Times New Roman" w:cs="Times New Roman"/>
        </w:rPr>
        <w:t>Below, I outline the amphibians as models for symbiotic investigations before introducing the specific aims of each chapter, which are explicated in subsequent chapter introductions.</w:t>
      </w:r>
    </w:p>
    <w:p w14:paraId="4BE30379" w14:textId="7D522EFE" w:rsidR="007C7BE3" w:rsidRPr="00553649" w:rsidRDefault="007C7BE3" w:rsidP="000B041F">
      <w:pPr>
        <w:pStyle w:val="Heading2"/>
        <w:rPr>
          <w:rFonts w:ascii="Times New Roman" w:hAnsi="Times New Roman" w:cs="Times New Roman"/>
          <w:b w:val="0"/>
          <w:bCs w:val="0"/>
        </w:rPr>
      </w:pPr>
      <w:bookmarkStart w:id="3" w:name="_Toc165028042"/>
      <w:r w:rsidRPr="00553649">
        <w:rPr>
          <w:rFonts w:ascii="Times New Roman" w:hAnsi="Times New Roman" w:cs="Times New Roman"/>
        </w:rPr>
        <w:lastRenderedPageBreak/>
        <w:t xml:space="preserve">The </w:t>
      </w:r>
      <w:r w:rsidR="008A6662">
        <w:rPr>
          <w:rFonts w:ascii="Times New Roman" w:hAnsi="Times New Roman" w:cs="Times New Roman"/>
        </w:rPr>
        <w:t>a</w:t>
      </w:r>
      <w:r w:rsidRPr="00553649">
        <w:rPr>
          <w:rFonts w:ascii="Times New Roman" w:hAnsi="Times New Roman" w:cs="Times New Roman"/>
        </w:rPr>
        <w:t xml:space="preserve">mphibian </w:t>
      </w:r>
      <w:r w:rsidR="008A6662">
        <w:rPr>
          <w:rFonts w:ascii="Times New Roman" w:hAnsi="Times New Roman" w:cs="Times New Roman"/>
        </w:rPr>
        <w:t>s</w:t>
      </w:r>
      <w:r w:rsidRPr="00553649">
        <w:rPr>
          <w:rFonts w:ascii="Times New Roman" w:hAnsi="Times New Roman" w:cs="Times New Roman"/>
        </w:rPr>
        <w:t xml:space="preserve">kin as a </w:t>
      </w:r>
      <w:r w:rsidR="008A6662">
        <w:rPr>
          <w:rFonts w:ascii="Times New Roman" w:hAnsi="Times New Roman" w:cs="Times New Roman"/>
        </w:rPr>
        <w:t>s</w:t>
      </w:r>
      <w:r w:rsidRPr="00553649">
        <w:rPr>
          <w:rFonts w:ascii="Times New Roman" w:hAnsi="Times New Roman" w:cs="Times New Roman"/>
        </w:rPr>
        <w:t xml:space="preserve">tage for </w:t>
      </w:r>
      <w:r w:rsidR="008A6662">
        <w:rPr>
          <w:rFonts w:ascii="Times New Roman" w:hAnsi="Times New Roman" w:cs="Times New Roman"/>
        </w:rPr>
        <w:t>s</w:t>
      </w:r>
      <w:r w:rsidRPr="00553649">
        <w:rPr>
          <w:rFonts w:ascii="Times New Roman" w:hAnsi="Times New Roman" w:cs="Times New Roman"/>
        </w:rPr>
        <w:t>ymbiosis</w:t>
      </w:r>
      <w:bookmarkEnd w:id="3"/>
    </w:p>
    <w:p w14:paraId="5F0914BE" w14:textId="7E026AD8" w:rsidR="007C7BE3" w:rsidRPr="00553649" w:rsidRDefault="007C7BE3" w:rsidP="007C7BE3">
      <w:pPr>
        <w:spacing w:line="360" w:lineRule="auto"/>
        <w:ind w:firstLine="720"/>
        <w:rPr>
          <w:rFonts w:ascii="Times New Roman" w:hAnsi="Times New Roman" w:cs="Times New Roman"/>
        </w:rPr>
      </w:pPr>
      <w:r w:rsidRPr="00553649">
        <w:rPr>
          <w:rFonts w:ascii="Times New Roman" w:hAnsi="Times New Roman" w:cs="Times New Roman"/>
        </w:rPr>
        <w:t xml:space="preserve">The amphibian skin, functioning as an interface between an organism and its environment, possesses two distinct layers: the epidermis and the dermis. The epidermis is a permeable layer of squamosal epithelium divided into three sections: </w:t>
      </w:r>
      <w:r w:rsidRPr="00553649">
        <w:rPr>
          <w:rFonts w:ascii="Times New Roman" w:hAnsi="Times New Roman" w:cs="Times New Roman"/>
          <w:i/>
          <w:iCs/>
        </w:rPr>
        <w:t>stratum corneum</w:t>
      </w:r>
      <w:r w:rsidRPr="00553649">
        <w:rPr>
          <w:rFonts w:ascii="Times New Roman" w:hAnsi="Times New Roman" w:cs="Times New Roman"/>
        </w:rPr>
        <w:t xml:space="preserve"> (outermost), </w:t>
      </w:r>
      <w:r w:rsidRPr="00553649">
        <w:rPr>
          <w:rFonts w:ascii="Times New Roman" w:hAnsi="Times New Roman" w:cs="Times New Roman"/>
          <w:i/>
          <w:iCs/>
        </w:rPr>
        <w:t>stratum spinosum</w:t>
      </w:r>
      <w:r w:rsidRPr="00553649">
        <w:rPr>
          <w:rFonts w:ascii="Times New Roman" w:hAnsi="Times New Roman" w:cs="Times New Roman"/>
        </w:rPr>
        <w:t xml:space="preserve">, and the basal </w:t>
      </w:r>
      <w:r w:rsidRPr="00553649">
        <w:rPr>
          <w:rFonts w:ascii="Times New Roman" w:hAnsi="Times New Roman" w:cs="Times New Roman"/>
          <w:i/>
          <w:iCs/>
        </w:rPr>
        <w:t>stratum germinativum</w:t>
      </w:r>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{"citationID":"3oJDnozG","properties":{"formattedCitation":"(Duellman &amp; Trueb, 1994; Varga et al., 2019; Wells, 2010)","plainCitation":"(Duellman &amp; Trueb, 1994; Varga et al., 2019; Wells, 2010)","noteIndex":0},"citationItems":[{"id":25,"uris":["http://zotero.org/users/6401767/items/7SU7EINQ"],"itemData":{"id":25,"type":"book","event-place":"Baltimore","ISBN":"978-0-07-017977-6","language":"en","note":"Google-Books-ID: dSkWAQAAIAAJ","number-of-pages":"738","publisher":"Johns Hopkins University Press","publisher-place":"Baltimore","title":"Biology of Amphibians","author":[{"family":"Duellman","given":"William Edward"},{"family":"Trueb","given":"Linda"}],"issued":{"date-parts":[["1994"]]}},"label":"page"},{"id":106,"uris":["http://zotero.org/users/6401767/items/B2Z3WBI6"],"itemData":{"id":106,"type":"article-journal","abstract":"Amphibian skin is a mucosal surface in direct and continuous contact with a microbially diverse and laden aquatic and/or terrestrial environment. As such, frog skin is an important innate immune organ and first line of defence against pathogens in the environment. Critical to the innate immune functions of frog skin are the maintenance of physical, chemical, cellular and microbiological barriers and the complex network of interactions that occur across all the barriers. Despite the global decline in amphibian populations, largely as a result of emerging infectious diseases, we understand little regarding the cellular and molecular mechanisms that underlie the innate immune function of amphibian skin and defence against pathogens. In this review, we will discuss the structure, cell composition and cellular junctions that contribute to the skin physical barrier, the antimicrobial peptide arsenal that, in part, comprises the chemical barrier, the pattern recognition receptors involved in recognizing pathogens and initiating innate immune responses in the skin, and the contribution of commensal microbes on the skin to pathogen defence. We briefly discuss the influence of environmental abiotic factors (natural and anthropogenic) and pathogens on the immunocompetency of frog skin defences. Although some aspects of frog innate immunity, such as antimicrobial peptides are well studied; other components and how they contribute to the skin innate immune barrier, are lacking. Elucidating the complex network of interactions occurring at the interface of the frog’s external and internal environments will yield more insight into the crucial role amphibian skin plays in host defence and the environment factors leading to compromised barrier integrity, disease, and host mortality.","container-title":"Frontiers in Immunology","DOI":"10.3389/fimmu.2018.03128","ISSN":"1664-3224","journalAbbreviation":"Front. Immunol.","language":"English","note":"publisher: Frontiers","source":"Frontiers","title":"Frog Skin Innate Immune Defences: Sensing and Surviving Pathogens","title-short":"Frog Skin Innate Immune Defences","URL":"https://www.frontiersin.org/articles/10.3389/fimmu.2018.03128/full","volume":"9","author":[{"family":"Varga","given":"Joseph F. A."},{"family":"Bui-Marinos","given":"Maxwell P."},{"family":"Katzenback","given":"Barbara A."}],"accessed":{"date-parts":[["2020",8,10]]},"issued":{"date-parts":[["2019"]]}}},{"id":90,"uris":["http://zotero.org/users/6401767/items/FZZR8N6G"],"itemData":{"id":90,"type":"book","abstract":"Consisting of more than six thousand species, amphibians are more diverse than mammals and are found on every continent save Antarctica. Despite the abundance and diversity of these animals, many aspects of the biology of amphibians remain unstudied or misunderstood. The Ecology and Behavior of Amphibians aims to fill this gap in the literature on this remarkable taxon. It is a celebration of the diversity of amphibian life and the ecological and behavioral adaptations that have made it a successful component of terrestrial and aquatic ecosystems.  Synthesizing seventy years of research on amphibian biology, Kentwood D. Wells addresses all major areas of inquiry, including phylogeny, classification, and morphology; aspects of physiological ecology such as water and temperature relations, respiration, metabolism, and energetics; movements and orientation; communication and social behavior; reproduction and parental care; ecology and behavior of amphibian larvae and ecological aspects of metamorphosis; ecological impact of predation on amphibian populations and antipredator defenses; and aspects of amphibian community ecology. With an eye towards modern concerns, The Ecology and Behavior of Amphibians concludes with a chapter devoted to amphibian conservation.  An unprecedented scholarly contribution to amphibian biology, this book is eagerly anticipated among specialists.","ISBN":"978-0-226-89333-4","language":"en","note":"Google-Books-ID: eDKEKy5JJbIC","number-of-pages":"1162","publisher":"University of Chicago Press","source":"Google Books","title":"The Ecology and Behavior of Amphibians","author":[{"family":"Wells","given":"Kentwood D."}],"issued":{"date-parts":[["2010",2,15]]}}}],"schema":"https://github.com/citation-style-language/schema/raw/master/csl-citation.json"}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(Duellman &amp; Trueb, 1994; Varga et al., 2019; Wells, 2010)</w:t>
      </w:r>
      <w:r w:rsidRPr="00553649">
        <w:rPr>
          <w:rFonts w:ascii="Times New Roman" w:hAnsi="Times New Roman" w:cs="Times New Roman"/>
        </w:rPr>
        <w:fldChar w:fldCharType="end"/>
      </w:r>
      <w:r w:rsidRPr="00553649">
        <w:rPr>
          <w:rFonts w:ascii="Times New Roman" w:hAnsi="Times New Roman" w:cs="Times New Roman"/>
        </w:rPr>
        <w:t xml:space="preserve">. The </w:t>
      </w:r>
      <w:r w:rsidRPr="00553649">
        <w:rPr>
          <w:rFonts w:ascii="Times New Roman" w:hAnsi="Times New Roman" w:cs="Times New Roman"/>
          <w:i/>
          <w:iCs/>
        </w:rPr>
        <w:t>stratum corneum</w:t>
      </w:r>
      <w:r w:rsidRPr="00553649">
        <w:rPr>
          <w:rFonts w:ascii="Times New Roman" w:hAnsi="Times New Roman" w:cs="Times New Roman"/>
        </w:rPr>
        <w:t xml:space="preserve"> is keratinized and is routinely sloughed, and can be ingested, potentially acting as an inoculum for the gut microbiome or clearing chytridiomycosis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{"citationID":"NAQVFGH1","properties":{"formattedCitation":"(Meyer et al., 2012; Ohmer et al., 2015)","plainCitation":"(Meyer et al., 2012; Ohmer et al., 2015)","noteIndex":0},"citationItems":[{"id":242,"uris":["http://zotero.org/users/6401767/items/JFQLMM6P"],"itemData":{"id":242,"type":"article-journal","abstract":"The emergence of disease as a significant global threat to amphibian diversity has generated considerable interest in amphibian defenses against cutaneous microbial infection and disease. To date, however, the influence of sloughing on the susceptibility of amphibians to infection and disease has been largely overlooked. To investigate the potential for sloughing to regulate topical microbial loads, the abundance of cultivable cutaneous bacteria and fungi in the cane toad Rhinella marina were compared before and after sloughing. Toads were also exposed to fluctuating thermal regimes (10−20 and 20−30°C) and variable photoperiods to investigate possible effects of season and climate on sloughing periodicity. Sloughing substantially reduced the abundance of cultivable cutaneous bacteria and fungi by up to 100%. The intermoult interval of toads maintained at 10−20°C was twice that of animals at 20−30°C and did not appear to thermally acclimate. Photoperiod had no discernable influence on sloughing periodicity. Results of this study suggest that normal sloughing cycles could play a significant role in controlling the persistence and build-up of cutaneous microbes, including pathogens. The loss of non-pathogenic commensal and protective skin microbiota after sloughing may also influence host susceptibility to cutaneous pathogens. We suggest that the spatio-temporal dynamics of chytridiomycosis, the widespread and often fatal disease caused by the fungal pathogen Batrachochytrium dendrobatidis, are related to temperature not only because of its effect on the growth of the fungus, but also because of its effect on the frequency of host sloughing.","container-title":"Diseases of Aquatic Organisms","DOI":"10.3354/dao02523","ISSN":"0177-5103, 1616-1580","issue":"3","journalAbbreviation":"Dis. Aquat. Org.","language":"en","page":"235-242","source":"DOI.org (Crossref)","title":"Changes in cutaneous microbial abundance with sloughing: possible implications for infection and disease in amphibians","title-short":"Changes in cutaneous microbial abundance with sloughing","volume":"101","author":[{"family":"Meyer","given":"Ea"},{"family":"Cramp","given":"Rl"},{"family":"Bernal","given":"Mh"},{"family":"Franklin","given":"Ce"}],"issued":{"date-parts":[["2012",11,19]]}}},{"id":24,"uris":["http://zotero.org/users/6401767/items/MF85VXXI"],"itemData":{"id":24,"type":"article-journal","abstract":"Amphibian chytridiomycosis, caused by the fungal pathogen Batrachochytrium dendrobatidis (Bd), is responsible for the greatest disease-driven loss of vertebrate biodiversity in recorded history. Understanding drivers of host susceptibility to this cutaneous disease is hindered by gaps in our knowledge of the host–pathogen relationship. One such overlooked aspect of susceptibility is variation in skin maintenance processes, particularly skin turnover via routine sloughing. It has been suggested that sloughing plays a role in immune defence, by removing skin-associated microbes. Thus, skin sloughing may play an important role in the pathogenesis of chytridiomycosis. To determine the relationship between skin sloughing and disease progression, we exposed adult Australian green tree frogs (Litoria caerulea) to a local Bd strain and monitored sloughing rates and individual infection loads on a naturalistic cycling temperature regime (15–23 °C). We determined sloughing rates in real-time by using an array of infrared video cameras to film frog behaviour and monitored infection load before and after sloughing by swabbing and analysis with quantitative PCR. We found that sloughing rate increased with Bd infection load in infected frogs, but sloughing itself did not affect Bd load on the ventral skin surface. Furthermore, Bd infection did not affect the duration of characteristic sloughing behaviour, and sloughing retained rhythmicity even at high infection loads. Although an increased sloughing rate might be considered advantageous for Bd-infected animals, it does not appear to curb the progression of disease and may actually contribute to the loss of physiological homoeostasis seen in terminally ill frogs by further inhibiting water and electrolyte transport across the skin. By measuring sloughing rates directly for the first time, our results shed light on how Bd interacts with the physiological processes of the skin and indicate that variation in skin sloughing frequency may play a role in the observed inter- and intraspecific variation in susceptibility to disease.","container-title":"Functional Ecology","DOI":"10.1111/1365-2435.12370","ISSN":"1365-2435","issue":"5","language":"en","note":"_eprint: https://onlinelibrary.wiley.com/doi/pdf/10.1111/1365-2435.12370","page":"674-682","source":"Wiley Online Library","title":"Skin sloughing rate increases with chytrid fungus infection load in a susceptible amphibian","volume":"29","author":[{"family":"Ohmer","given":"Michel E.B."},{"family":"Cramp","given":"Rebecca L."},{"family":"White","given":"Craig R."},{"family":"Franklin","given":"Craig E."}],"issued":{"date-parts":[["2015"]]}}}],"schema":"https://github.com/citation-style-language/schema/raw/master/csl-citation.json"}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(Meyer et al., 2012; Ohmer et al., 2015)</w:t>
      </w:r>
      <w:r w:rsidRPr="00553649">
        <w:rPr>
          <w:rFonts w:ascii="Times New Roman" w:hAnsi="Times New Roman" w:cs="Times New Roman"/>
        </w:rPr>
        <w:fldChar w:fldCharType="end"/>
      </w:r>
      <w:r w:rsidRPr="00553649">
        <w:rPr>
          <w:rFonts w:ascii="Times New Roman" w:hAnsi="Times New Roman" w:cs="Times New Roman"/>
        </w:rPr>
        <w:t xml:space="preserve">.  Sloughed skin is then synchronously replaced by a keratinized layer of the </w:t>
      </w:r>
      <w:r w:rsidRPr="00553649">
        <w:rPr>
          <w:rFonts w:ascii="Times New Roman" w:hAnsi="Times New Roman" w:cs="Times New Roman"/>
          <w:i/>
          <w:iCs/>
        </w:rPr>
        <w:t>stratum spinosum</w:t>
      </w:r>
      <w:r w:rsidRPr="00553649">
        <w:rPr>
          <w:rFonts w:ascii="Times New Roman" w:hAnsi="Times New Roman" w:cs="Times New Roman"/>
        </w:rPr>
        <w:t xml:space="preserve">. Cell morphology is most diverse in the </w:t>
      </w:r>
      <w:r w:rsidRPr="00503996">
        <w:rPr>
          <w:rFonts w:ascii="Times New Roman" w:hAnsi="Times New Roman" w:cs="Times New Roman"/>
          <w:i/>
          <w:iCs/>
        </w:rPr>
        <w:t>stratum germinativum</w:t>
      </w:r>
      <w:r w:rsidRPr="00553649">
        <w:rPr>
          <w:rFonts w:ascii="Times New Roman" w:hAnsi="Times New Roman" w:cs="Times New Roman"/>
        </w:rPr>
        <w:t xml:space="preserve">, containing an array of immune and dendric cells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{"citationID":"MtYxqnFd","properties":{"formattedCitation":"(Colombo et al., 2015; Haslam et al., 2014; Woodhams et al., 2023a)","plainCitation":"(Colombo et al., 2015; Haslam et al., 2014; Woodhams et al., 2023a)","noteIndex":0},"citationItems":[{"id":22,"uris":["http://zotero.org/users/6401767/items/BRYKXSIX"],"itemData":{"id":22,"type":"article-journal","container-title":"Frontiers in Immunology","DOI":"10.3389/fimmu.2015.00111","ISSN":"1664-3224","journalAbbreviation":"Front. Immunol.","language":"en","source":"DOI.org (Crossref)","title":"Microbiota and Mucosal Immunity in Amphibians","URL":"http://www.frontiersin.org/Mucosal_Immunity/10.3389/fimmu.2015.00111/abstract","volume":"6","author":[{"family":"Colombo","given":"Bruno M."},{"family":"Scalvenzi","given":"Thibault"},{"family":"Benlamara","given":"Sarah"},{"family":"Pollet","given":"Nicolas"}],"accessed":{"date-parts":[["2023",6,16]]},"issued":{"date-parts":[["2015",3,13]]}}},{"id":23,"uris":["http://zotero.org/users/6401767/items/4JNLH2VZ"],"itemData":{"id":23,"type":"article-journal","abstract":"For over a century, frogs have been studied across various scientific fields, including physiology, embryology, neuroscience, (neuro)endocrinology, ecology, genetics, behavioural science, evolution, drug development, and conservation biology. In some cases, frog skin has proven very successful as a research model, for example aiding in the study of ion transport through tight epithelia, where it has served as a model for the vertebrate distal renal tubule and mammalian epithelia. However, it has rarely been considered in comparative studies involving human skin. Yet, despite certain notable adaptations that have enabled frogs to survive in both aquatic and terrestrial environments, frog skin has many features in common with human skin. Here we present a comprehensive overview of frog (and toad) skin ontogeny, anatomy, cytology, neuroendocrinology and immunology, with special attention to its unique adaptations as well as to its similarities with the mammalian integument, including human skin. We hope to provide a valuable reference point and a source of inspiration for both amphibian investigators and mammalian researchers studying the structural and functional properties of the largest organ of the vertebrate body.","container-title":"Biological Reviews","DOI":"10.1111/brv.12072","ISSN":"1469-185X","issue":"3","language":"en","license":"© 2013 The Authors. Biological Reviews © 2013 Cambridge Philosophical Society","note":"_eprint: https://onlinelibrary.wiley.com/doi/pdf/10.1111/brv.12072","page":"618-655","source":"Wiley Online Library","title":"From frog integument to human skin: dermatological perspectives from frog skin biology","title-short":"From frog integument to human skin","volume":"89","author":[{"family":"Haslam","given":"Iain S."},{"family":"Roubos","given":"Eric W."},{"family":"Mangoni","given":"Maria Luisa"},{"family":"Yoshizato","given":"Katsutoshi"},{"family":"Vaudry","given":"Hubert"},{"family":"Kloepper","given":"Jennifer E."},{"family":"Pattwell","given":"David M."},{"family":"Maderson","given":"Paul F. A."},{"family":"Paus","given":"Ralf"}],"issued":{"date-parts":[["2014"]]}}},{"id":34,"uris":["http://zotero.org/users/6401767/items/7A5I7DPI"],"itemData":{"id":34,"type":"article-journal","abstract":"The microbiome is known to provide benefits to hosts, including extension of immune function. Amphibians are a powerful immunological model for examining mucosal defenses because of an accessible epithelial mucosome throughout their developmental trajectory, their responsiveness to experimental treatments, and direct interactions with emerging infectious pathogens. We review amphibian skin mucus components and describe the adaptive microbiome as a novel process of disease resilience where competitive microbial interactions couple with host immune responses to select for functions beneficial to the host. We demonstrate microbiome diversity, specificity of function, and mechanisms for memory characteristic of an adaptive immune response. At a time when industrialization has been linked to losses in microbiota important for host health, applications of microbial therapies such as probiotics may contribute to immunotherapeutics and to conservation efforts for species currently threatened by emerging diseases.","container-title":"Developmental &amp; Comparative Immunology","DOI":"10.1016/j.dci.2023.104690","ISSN":"0145-305X","journalAbbreviation":"Developmental &amp; Comparative Immunology","language":"en","page":"104690","source":"ScienceDirect","title":"The adaptive microbiome hypothesis and immune interactions in amphibian mucus","volume":"145","author":[{"family":"Woodhams","given":"Douglas C."},{"family":"McCartney","given":"Julia"},{"family":"Walke","given":"Jenifer B."},{"family":"Whetstone","given":"Ross"}],"issued":{"date-parts":[["2023",8,1]]}}}],"schema":"https://github.com/citation-style-language/schema/raw/master/csl-citation.json"}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(Colombo et al., 2015; Haslam et al., 2014; Woodhams et al., 2023a)</w:t>
      </w:r>
      <w:r w:rsidRPr="00553649">
        <w:rPr>
          <w:rFonts w:ascii="Times New Roman" w:hAnsi="Times New Roman" w:cs="Times New Roman"/>
        </w:rPr>
        <w:fldChar w:fldCharType="end"/>
      </w:r>
      <w:r w:rsidRPr="00553649">
        <w:rPr>
          <w:rFonts w:ascii="Times New Roman" w:hAnsi="Times New Roman" w:cs="Times New Roman"/>
        </w:rPr>
        <w:t>. Beneath the epidermis lies the dermis, divided into an upper layer (</w:t>
      </w:r>
      <w:r w:rsidRPr="00553649">
        <w:rPr>
          <w:rFonts w:ascii="Times New Roman" w:hAnsi="Times New Roman" w:cs="Times New Roman"/>
          <w:i/>
          <w:iCs/>
        </w:rPr>
        <w:t>stratum spongiosum</w:t>
      </w:r>
      <w:r w:rsidRPr="00553649">
        <w:rPr>
          <w:rFonts w:ascii="Times New Roman" w:hAnsi="Times New Roman" w:cs="Times New Roman"/>
        </w:rPr>
        <w:t>) and a lower layer (</w:t>
      </w:r>
      <w:r w:rsidRPr="00553649">
        <w:rPr>
          <w:rFonts w:ascii="Times New Roman" w:hAnsi="Times New Roman" w:cs="Times New Roman"/>
          <w:i/>
          <w:iCs/>
        </w:rPr>
        <w:t>stratum compactum)</w:t>
      </w:r>
      <w:r w:rsidRPr="00553649">
        <w:rPr>
          <w:rFonts w:ascii="Times New Roman" w:hAnsi="Times New Roman" w:cs="Times New Roman"/>
        </w:rPr>
        <w:t xml:space="preserve">, connected via collagenous columns. The </w:t>
      </w:r>
      <w:r w:rsidRPr="00553649">
        <w:rPr>
          <w:rFonts w:ascii="Times New Roman" w:hAnsi="Times New Roman" w:cs="Times New Roman"/>
          <w:i/>
          <w:iCs/>
        </w:rPr>
        <w:t xml:space="preserve">stratum </w:t>
      </w:r>
      <w:proofErr w:type="spellStart"/>
      <w:r w:rsidRPr="00553649">
        <w:rPr>
          <w:rFonts w:ascii="Times New Roman" w:hAnsi="Times New Roman" w:cs="Times New Roman"/>
          <w:i/>
          <w:iCs/>
        </w:rPr>
        <w:t>spongiousm</w:t>
      </w:r>
      <w:proofErr w:type="spellEnd"/>
      <w:r w:rsidRPr="00553649">
        <w:rPr>
          <w:rFonts w:ascii="Times New Roman" w:hAnsi="Times New Roman" w:cs="Times New Roman"/>
        </w:rPr>
        <w:t xml:space="preserve"> contains an array of glands, chromatophores, and lymphocytes while the compact layer contains mast cells associated with anti-parasitic responses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{"citationID":"aAKtg6LQ","properties":{"formattedCitation":"(Marshall &amp; Bienenstock, 1994; Varga et al., 2019)","plainCitation":"(Marshall &amp; Bienenstock, 1994; Varga et al., 2019)","noteIndex":0},"citationItems":[{"id":21,"uris":["http://zotero.org/users/6401767/items/YPZ8IGX4"],"itemData":{"id":21,"type":"article-journal","abstract":"The concept that mast cells play a key role in the initiation of acute allergic responses has been around for many years. However, the role of mast cells in the chronic processes that are the hallmark of inflammatory disease is still poorly understood. With better techniques to study mast cell function it has become clear that these cells may have a much wider role in immune responses and regulation than previously recognized. Exciting progress has been made over the past year in defining the breadth of mast cell functions in inflammation. Further studies are necessary to evaluate the in vivo significance of many of these findings.","container-title":"Current Opinion in Immunology","DOI":"10.1016/0952-7915(94)90004-3","ISSN":"0952-7915","issue":"6","journalAbbreviation":"Current Opinion in Immunology","language":"en","page":"853-859","source":"ScienceDirect","title":"The role of mast cells in inflammatory reactions of the airways, skin and intestine","volume":"6","author":[{"family":"Marshall","given":"Jean S."},{"family":"Bienenstock","given":"John"}],"issued":{"date-parts":[["1994",12,1]]}}},{"id":106,"uris":["http://zotero.org/users/6401767/items/B2Z3WBI6"],"itemData":{"id":106,"type":"article-journal","abstract":"Amphibian skin is a mucosal surface in direct and continuous contact with a microbially diverse and laden aquatic and/or terrestrial environment. As such, frog skin is an important innate immune organ and first line of defence against pathogens in the environment. Critical to the innate immune functions of frog skin are the maintenance of physical, chemical, cellular and microbiological barriers and the complex network of interactions that occur across all the barriers. Despite the global decline in amphibian populations, largely as a result of emerging infectious diseases, we understand little regarding the cellular and molecular mechanisms that underlie the innate immune function of amphibian skin and defence against pathogens. In this review, we will discuss the structure, cell composition and cellular junctions that contribute to the skin physical barrier, the antimicrobial peptide arsenal that, in part, comprises the chemical barrier, the pattern recognition receptors involved in recognizing pathogens and initiating innate immune responses in the skin, and the contribution of commensal microbes on the skin to pathogen defence. We briefly discuss the influence of environmental abiotic factors (natural and anthropogenic) and pathogens on the immunocompetency of frog skin defences. Although some aspects of frog innate immunity, such as antimicrobial peptides are well studied; other components and how they contribute to the skin innate immune barrier, are lacking. Elucidating the complex network of interactions occurring at the interface of the frog’s external and internal environments will yield more insight into the crucial role amphibian skin plays in host defence and the environment factors leading to compromised barrier integrity, disease, and host mortality.","container-title":"Frontiers in Immunology","DOI":"10.3389/fimmu.2018.03128","ISSN":"1664-3224","journalAbbreviation":"Front. Immunol.","language":"English","note":"publisher: Frontiers","source":"Frontiers","title":"Frog Skin Innate Immune Defences: Sensing and Surviving Pathogens","title-short":"Frog Skin Innate Immune Defences","URL":"https://www.frontiersin.org/articles/10.3389/fimmu.2018.03128/full","volume":"9","author":[{"family":"Varga","given":"Joseph F. A."},{"family":"Bui-Marinos","given":"Maxwell P."},{"family":"Katzenback","given":"Barbara A."}],"accessed":{"date-parts":[["2020",8,10]]},"issued":{"date-parts":[["2019"]]}}}],"schema":"https://github.com/citation-style-language/schema/raw/master/csl-citation.json"}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(Marshall &amp; Bienenstock, 1994; Varga et al., 2019)</w:t>
      </w:r>
      <w:r w:rsidRPr="00553649">
        <w:rPr>
          <w:rFonts w:ascii="Times New Roman" w:hAnsi="Times New Roman" w:cs="Times New Roman"/>
        </w:rPr>
        <w:fldChar w:fldCharType="end"/>
      </w:r>
      <w:r w:rsidRPr="00553649">
        <w:rPr>
          <w:rFonts w:ascii="Times New Roman" w:hAnsi="Times New Roman" w:cs="Times New Roman"/>
        </w:rPr>
        <w:t>.</w:t>
      </w:r>
    </w:p>
    <w:p w14:paraId="7A6DAA6A" w14:textId="26AF5A61" w:rsidR="007C7BE3" w:rsidRPr="00553649" w:rsidRDefault="007C7BE3" w:rsidP="007C7BE3">
      <w:pPr>
        <w:spacing w:line="360" w:lineRule="auto"/>
        <w:rPr>
          <w:rFonts w:ascii="Times New Roman" w:hAnsi="Times New Roman" w:cs="Times New Roman"/>
        </w:rPr>
      </w:pPr>
      <w:r w:rsidRPr="00553649">
        <w:rPr>
          <w:rFonts w:ascii="Times New Roman" w:hAnsi="Times New Roman" w:cs="Times New Roman"/>
        </w:rPr>
        <w:tab/>
        <w:t xml:space="preserve">Perhaps the most well-known attribute of the amphibian skin is the presence of mucosal, granular, and </w:t>
      </w:r>
      <w:r w:rsidR="00503996">
        <w:rPr>
          <w:rFonts w:ascii="Times New Roman" w:hAnsi="Times New Roman" w:cs="Times New Roman"/>
        </w:rPr>
        <w:t>pheromone</w:t>
      </w:r>
      <w:r w:rsidRPr="00553649">
        <w:rPr>
          <w:rFonts w:ascii="Times New Roman" w:hAnsi="Times New Roman" w:cs="Times New Roman"/>
        </w:rPr>
        <w:t xml:space="preserve"> glands, responsible for a wide range of physiological, immunological, and behavioral processes. Nestled within the </w:t>
      </w:r>
      <w:r w:rsidRPr="00553649">
        <w:rPr>
          <w:rFonts w:ascii="Times New Roman" w:hAnsi="Times New Roman" w:cs="Times New Roman"/>
          <w:i/>
          <w:iCs/>
        </w:rPr>
        <w:t>stratum spongiosum</w:t>
      </w:r>
      <w:r w:rsidRPr="00553649">
        <w:rPr>
          <w:rFonts w:ascii="Times New Roman" w:hAnsi="Times New Roman" w:cs="Times New Roman"/>
        </w:rPr>
        <w:t xml:space="preserve">, mucosal glands are often smaller than granular glands and more uniformly distributed. These glands function to mediate physiological homeostasis including, but not limited to, oxygen diffusion, ion transport, water balance, and thermoregulation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{"citationID":"IgqJRdvq","properties":{"formattedCitation":"(Duellman &amp; Trueb, 1994; Lewis et al., 2018; Sever &amp; Siegel, 2015; Wells, 2010)","plainCitation":"(Duellman &amp; Trueb, 1994; Lewis et al., 2018; Sever &amp; Siegel, 2015; Wells, 2010)","noteIndex":0},"citationItems":[{"id":25,"uris":["http://zotero.org/users/6401767/items/7SU7EINQ"],"itemData":{"id":25,"type":"book","event-place":"Baltimore","ISBN":"978-0-07-017977-6","language":"en","note":"Google-Books-ID: dSkWAQAAIAAJ","number-of-pages":"738","publisher":"Johns Hopkins University Press","publisher-place":"Baltimore","title":"Biology of Amphibians","author":[{"family":"Duellman","given":"William Edward"},{"family":"Trueb","given":"Linda"}],"issued":{"date-parts":[["1994"]]}}},{"id":203,"uris":["http://zotero.org/users/6401767/items/NKYAUFCA"],"itemData":{"id":203,"type":"article-journal","abstract":"Numerous physiological and morphological adaptations were achieved during the transition to lungless respiration that accompanied evolutionary lung loss in plethodontid salamanders, including those that enable efficient gas exchange across extrapulmonary tissue. However, the molecular basis of these adaptations is unknown. Here, we show that lungless salamanders express in the larval integument and the adult buccopharynx—principal sites of respiratory gas exchange in these species—a novel paralogue of the gene surfactant-associated protein C (SFTPC), which is a critical component of pulmonary surfactant expressed exclusively in the lung in other vertebrates. The paralogous gene appears to be found only in salamanders, but, similar to SFTPC, in lunged salamanders it is expressed only in the lung. This heterotopic gene expression, combined with predictions from structural modelling and respiratory tissue ultrastructure, suggests that lungless salamanders may produce pulmonary surfactant-like secretions outside the lungs and that the novel paralogue of SFTPC might facilitate extrapulmonary respiration in the absence of lungs. Heterotopic expression of the SFTPC paralogue may have contributed to the remarkable evolutionary radiation of lungless salamanders, which account for more than two thirds of urodele species alive today.","container-title":"Proceedings of the Royal Society B: Biological Sciences","DOI":"10.1098/rspb.2018.1589","ISSN":"0962-8452","issue":"1888","journalAbbreviation":"Proc Biol Sci","note":"PMID: 30282653\nPMCID: PMC6191699","source":"PubMed Central","title":"Expression of a novel surfactant protein gene is associated with sites of extrapulmonary respiration in a lungless salamander","URL":"https://www.ncbi.nlm.nih.gov/pmc/articles/PMC6191699/","volume":"285","author":[{"family":"Lewis","given":"Zachary R."},{"family":"Dorantes","given":"Jorge A."},{"family":"Hanken","given":"James"}],"accessed":{"date-parts":[["2020",8,10]]},"issued":{"date-parts":[["2018",10,10]]}}},{"id":205,"uris":["http://zotero.org/users/6401767/items/TR7Y6ESX"],"itemData":{"id":205,"type":"article-journal","abstract":"Caudal courtship glands (CCGs) are sexually dimorphic glands described in the skin of the dorsal tail base of some male salamanders in the genera Desmognathus, Eurycea, and Plethodon in the family Plethodontidae. These glands are believed to deliver pheromones to females during courtship, when the female rests her chin on the dorsal tail base during the stereotypic tail straddling walk unique to plethodontids. Although CCGs have been studied histologically, no investigations of their ultrastructure have been made. This article presents the first study on the fine structure and seasonal variation of CCGs, using the plethodontid Plethodon cinereus. The CCGs vary seasonally in height and secretory activity. The mature secretory granules observed in males collected in October and April consist of oval, biphasic granules that are eosinophilic and give positive reactions to periodic acid-Schiff for neutral carbohydrates but do not stain for acidic mucosusbtances or proteins with alcian blue and bromphenol blue, respectively. Granular glands, some of which contain mucous demilunes, are twice as large as CCGs, are syncytial (unlike CCGs), and stain for proteins. Mucous glands are similar in size to CCGs, but are basophilic, show no seasonal variation in secretory activity, and stain positive for acidic mucosubstances. CCGs do not resemble cytologically the sexually dimorphic mental glands of some plethodontids, which contain round or oval granules filled with an electron-dense amorphous substance. The CCGs are similar histologically to sexually dimorphic skin glands described in some anurans, but more comparative work is needed. J. Morphol. 276:319–330, 2015. © 2014 Wiley Periodicals, Inc.","container-title":"Journal of Morphology","DOI":"10.1002/jmor.20342","ISSN":"1097-4687","issue":"3","language":"en","license":"© 2014 Wiley Periodicals, Inc.","note":"_eprint: https://onlinelibrary.wiley.com/doi/pdf/10.1002/jmor.20342","page":"319-330","source":"Wiley Online Library","title":"Histology and ultrastructure of the caudal courtship glands of the red-backed salamander, Plethodon cinereus (Amphibia: Plethodontidae)","title-short":"Histology and ultrastructure of the caudal courtship glands of the red-backed salamander, Plethodon cinereus (Amphibia","volume":"276","author":[{"family":"Sever","given":"David M."},{"family":"Siegel","given":"Dustin S."}],"issued":{"date-parts":[["2015"]]}}},{"id":90,"uris":["http://zotero.org/users/6401767/items/FZZR8N6G"],"itemData":{"id":90,"type":"book","abstract":"Consisting of more than six thousand species, amphibians are more diverse than mammals and are found on every continent save Antarctica. Despite the abundance and diversity of these animals, many aspects of the biology of amphibians remain unstudied or misunderstood. The Ecology and Behavior of Amphibians aims to fill this gap in the literature on this remarkable taxon. It is a celebration of the diversity of amphibian life and the ecological and behavioral adaptations that have made it a successful component of terrestrial and aquatic ecosystems.  Synthesizing seventy years of research on amphibian biology, Kentwood D. Wells addresses all major areas of inquiry, including phylogeny, classification, and morphology; aspects of physiological ecology such as water and temperature relations, respiration, metabolism, and energetics; movements and orientation; communication and social behavior; reproduction and parental care; ecology and behavior of amphibian larvae and ecological aspects of metamorphosis; ecological impact of predation on amphibian populations and antipredator defenses; and aspects of amphibian community ecology. With an eye towards modern concerns, The Ecology and Behavior of Amphibians concludes with a chapter devoted to amphibian conservation.  An unprecedented scholarly contribution to amphibian biology, this book is eagerly anticipated among specialists.","ISBN":"978-0-226-89333-4","language":"en","note":"Google-Books-ID: eDKEKy5JJbIC","number-of-pages":"1162","publisher":"University of Chicago Press","source":"Google Books","title":"The Ecology and Behavior of Amphibians","author":[{"family":"Wells","given":"Kentwood D."}],"issued":{"date-parts":[["2010",2,15]]}}}],"schema":"https://github.com/citation-style-language/schema/raw/master/csl-citation.json"}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(Duellman &amp; Trueb, 1994; Lewis et al., 2018; Sever &amp; Siegel, 2015; Wells, 2010)</w:t>
      </w:r>
      <w:r w:rsidRPr="00553649">
        <w:rPr>
          <w:rFonts w:ascii="Times New Roman" w:hAnsi="Times New Roman" w:cs="Times New Roman"/>
        </w:rPr>
        <w:fldChar w:fldCharType="end"/>
      </w:r>
      <w:r w:rsidRPr="00553649">
        <w:rPr>
          <w:rFonts w:ascii="Times New Roman" w:hAnsi="Times New Roman" w:cs="Times New Roman"/>
        </w:rPr>
        <w:t xml:space="preserve">. While not extensively studied in caudates (salamanders), research in anurans (frogs and toads) and humans indicates the mucus component from these glands consists of around 95% water and contains complex networks of gel-forming mucins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{"citationID":"j3RaDohD","properties":{"formattedCitation":"(Dubaissi et al., 2018)","plainCitation":"(Dubaissi et al., 2018)","noteIndex":0},"citationItems":[{"id":30,"uris":["http://zotero.org/users/6401767/items/STIPNIMD"],"itemData":{"id":30,"type":"article-journal","abstract":"Mucosal surfaces represent critical routes for entry and exit of pathogens. As such, animals have evolved strategies to combat infection at these sites, in particular the production of mucus to prevent attachment and to promote subsequent movement of the mucus/microbe away from the underlying epithelial surface. Using biochemical, biophysical, and infection studies, we have investigated the host protective properties of the skin mucus barrier of the Xenopus tropicalis tadpole. Specifically, we have characterized the major structural component of the barrier and shown that it is a mucin glycoprotein (Otogelin-like or Otogl) with similar sequence, domain organization, and structural properties to human gel-forming mucins. This mucin forms the structural basis of a surface barrier (</w:instrText>
      </w:r>
      <w:r w:rsidR="004D2321">
        <w:rPr>
          <w:rFonts w:ascii="Cambria Math" w:hAnsi="Cambria Math" w:cs="Cambria Math"/>
        </w:rPr>
        <w:instrText>∼</w:instrText>
      </w:r>
      <w:r w:rsidR="004D2321">
        <w:rPr>
          <w:rFonts w:ascii="Times New Roman" w:hAnsi="Times New Roman" w:cs="Times New Roman"/>
        </w:rPr>
        <w:instrText xml:space="preserve">6 μm thick), which is depleted through knockdown of Otogl. Crucially, Otogl knockdown leads to susceptibility to infection by the opportunistic pathogen Aeromonas hydrophila. To more accurately reflect its structure, tissue localization, and function, we have renamed Otogl as Xenopus Skin Mucin, or MucXS. Our findings characterize an accessible and tractable model system to define mucus barrier function and host–microbe interactions.","container-title":"Proceedings of the National Academy of Sciences","DOI":"10.1073/pnas.1713539115","issue":"4","note":"publisher: Proceedings of the National Academy of Sciences","page":"726-731","source":"pnas.org (Atypon)","title":"Functional characterization of the mucus barrier on the Xenopus tropicalis skin surface","volume":"115","author":[{"family":"Dubaissi","given":"Eamon"},{"family":"Rousseau","given":"Karine"},{"family":"Hughes","given":"Gareth W."},{"family":"Ridley","given":"Caroline"},{"family":"Grencis","given":"Richard K."},{"family":"Roberts","given":"Ian S."},{"family":"Thornton","given":"David J."}],"issued":{"date-parts":[["2018",1,23]]}}}],"schema":"https://github.com/citation-style-language/schema/raw/master/csl-citation.json"}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(Dubaissi et al., 2018)</w:t>
      </w:r>
      <w:r w:rsidRPr="00553649">
        <w:rPr>
          <w:rFonts w:ascii="Times New Roman" w:hAnsi="Times New Roman" w:cs="Times New Roman"/>
        </w:rPr>
        <w:fldChar w:fldCharType="end"/>
      </w:r>
      <w:r w:rsidRPr="00553649">
        <w:rPr>
          <w:rFonts w:ascii="Times New Roman" w:hAnsi="Times New Roman" w:cs="Times New Roman"/>
        </w:rPr>
        <w:t>. These large mucins create a medium approximately 6</w:t>
      </w:r>
      <w:r w:rsidRPr="00553649">
        <w:rPr>
          <w:rFonts w:ascii="Times New Roman" w:hAnsi="Times New Roman" w:cs="Times New Roman"/>
        </w:rPr>
        <w:sym w:font="Symbol" w:char="F06D"/>
      </w:r>
      <w:r w:rsidRPr="00553649">
        <w:rPr>
          <w:rFonts w:ascii="Times New Roman" w:hAnsi="Times New Roman" w:cs="Times New Roman"/>
        </w:rPr>
        <w:t xml:space="preserve">m thick (in </w:t>
      </w:r>
      <w:r w:rsidRPr="00553649">
        <w:rPr>
          <w:rFonts w:ascii="Times New Roman" w:hAnsi="Times New Roman" w:cs="Times New Roman"/>
          <w:i/>
          <w:iCs/>
        </w:rPr>
        <w:t>Xenopus</w:t>
      </w:r>
      <w:r w:rsidRPr="00553649">
        <w:rPr>
          <w:rFonts w:ascii="Times New Roman" w:hAnsi="Times New Roman" w:cs="Times New Roman"/>
        </w:rPr>
        <w:t xml:space="preserve"> tadpoles) and serve as the site of O-glycosylation through regions enriched in proline, threonine, and serine (PTS) residues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{"citationID":"4DY3IBq6","properties":{"formattedCitation":"(Dubaissi et al., 2018)","plainCitation":"(Dubaissi et al., 2018)","noteIndex":0},"citationItems":[{"id":30,"uris":["http://zotero.org/users/6401767/items/STIPNIMD"],"itemData":{"id":30,"type":"article-journal","abstract":"Mucosal surfaces represent critical routes for entry and exit of pathogens. As such, animals have evolved strategies to combat infection at these sites, in particular the production of mucus to prevent attachment and to promote subsequent movement of the mucus/microbe away from the underlying epithelial surface. Using biochemical, biophysical, and infection studies, we have investigated the host protective properties of the skin mucus barrier of the Xenopus tropicalis tadpole. Specifically, we have characterized the major structural component of the barrier and shown that it is a mucin glycoprotein (Otogelin-like or Otogl) with similar sequence, domain organization, and structural properties to human gel-forming mucins. This mucin forms the structural basis of a surface barrier (</w:instrText>
      </w:r>
      <w:r w:rsidR="004D2321">
        <w:rPr>
          <w:rFonts w:ascii="Cambria Math" w:hAnsi="Cambria Math" w:cs="Cambria Math"/>
        </w:rPr>
        <w:instrText>∼</w:instrText>
      </w:r>
      <w:r w:rsidR="004D2321">
        <w:rPr>
          <w:rFonts w:ascii="Times New Roman" w:hAnsi="Times New Roman" w:cs="Times New Roman"/>
        </w:rPr>
        <w:instrText xml:space="preserve">6 μm thick), which is depleted through knockdown of Otogl. Crucially, Otogl knockdown leads to susceptibility to infection by the opportunistic pathogen Aeromonas hydrophila. To more accurately reflect its structure, tissue localization, and function, we have renamed Otogl as Xenopus Skin Mucin, or MucXS. Our findings characterize an accessible and tractable model system to define mucus barrier function and host–microbe interactions.","container-title":"Proceedings of the National Academy of Sciences","DOI":"10.1073/pnas.1713539115","issue":"4","note":"publisher: Proceedings of the National Academy of Sciences","page":"726-731","source":"pnas.org (Atypon)","title":"Functional characterization of the mucus barrier on the Xenopus tropicalis skin surface","volume":"115","author":[{"family":"Dubaissi","given":"Eamon"},{"family":"Rousseau","given":"Karine"},{"family":"Hughes","given":"Gareth W."},{"family":"Ridley","given":"Caroline"},{"family":"Grencis","given":"Richard K."},{"family":"Roberts","given":"Ian S."},{"family":"Thornton","given":"David J."}],"issued":{"date-parts":[["2018",1,23]]}}}],"schema":"https://github.com/citation-style-language/schema/raw/master/csl-citation.json"}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(Dubaissi et al., 2018)</w:t>
      </w:r>
      <w:r w:rsidRPr="00553649">
        <w:rPr>
          <w:rFonts w:ascii="Times New Roman" w:hAnsi="Times New Roman" w:cs="Times New Roman"/>
        </w:rPr>
        <w:fldChar w:fldCharType="end"/>
      </w:r>
      <w:r w:rsidRPr="00553649">
        <w:rPr>
          <w:rFonts w:ascii="Times New Roman" w:hAnsi="Times New Roman" w:cs="Times New Roman"/>
        </w:rPr>
        <w:t xml:space="preserve">, though N-glycosylation has also been found in other Anurans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{"citationID":"NiDg4O9r","properties":{"formattedCitation":"(Barbosa et al., 2022)","plainCitation":"(Barbosa et al., 2022)","noteIndex":0},"citationItems":[{"id":29,"uris":["http://zotero.org/users/6401767/items/RNNK8V3S"],"itemData":{"id":29,"type":"article-journal","abstract":"Amphibians secrete a complex array of molecules that shape their interactions with coinhabiting microorganisms and macroscopic predators. Glycans are a rapidly evolving and complex class of biomolecules implicated in intrinsic and extrinsic recognition events. Despite the numerous studies aiming at the biochemical characterization of anuran skin secretions, little is known about protein-linked oligosaccharides, their synthesis pathways, and their homing secreted glycoproteins. In the present report, LC-MS/MS was used to investigate the diversity of N- and O-linked oligosaccharides in the skin secretion of two South American frogs, Pithecopus azureus and Boana raniceps. Additionally, the enzymes responsible for glycan synthesis pathways were evaluated based on their skin tissue transcriptome. Our analyses allowed the annotation of various N- and O-glycan structures commonly found in vertebrate proteins. Paucimannosidic glycans were abundant in the skin secretion of both amphibians; however, hybrid and complex N-glycan structures were detected only in B. raniceps. A good correlation between the structures discovered in glycomic analyses and transcripts encoding enzymes necessary for their synthesis was obtained. Some transcripts such as those of MAN1A2, FUT8, and ST6GALNAC were found solely in B. raniceps. Finally, secreted N- and O- linked glycoproteins were predicted from the transcriptomic data, indicating that proteases and protease inhibitors are putative sources of the glycans described herein. Overall, our results show the presence of oligosaccharides in amphibians skin secretions and suggest that their diversity is species-specific, paving the way for novel perspectives involving amphibian evolution and ecology.","container-title":"Biochimie","DOI":"10.1016/j.biochi.2022.01.008","ISSN":"0300-9084","journalAbbreviation":"Biochimie","language":"en","page":"19-37","source":"ScienceDirect","title":"A first look at the N- and O-glycosylation landscape in anuran skin secretions","volume":"197","author":[{"family":"Barbosa","given":"Eder Alves"},{"family":"Alves","given":"Gabriel Sérgio Costa"},{"family":"Coura","given":"Marcelo de Melo Andrade"},{"family":"Silva","given":"Higor de Lima","dropping-particle":"e"},{"family":"Rocha","given":"Filipe Souza","dropping-particle":"da"},{"family":"Nunes","given":"João Bueno"},{"family":"Watanabe","given":"Matheus de Souza"},{"family":"Andrade","given":"Alan Carvalho"},{"family":"Brand","given":"Guilherme Dotto"}],"issued":{"date-parts":[["2022",6,1]]}}}],"schema":"https://github.com/citation-style-language/schema/raw/master/csl-citation.json"}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(Barbosa et al., 2022)</w:t>
      </w:r>
      <w:r w:rsidRPr="00553649">
        <w:rPr>
          <w:rFonts w:ascii="Times New Roman" w:hAnsi="Times New Roman" w:cs="Times New Roman"/>
        </w:rPr>
        <w:fldChar w:fldCharType="end"/>
      </w:r>
      <w:r w:rsidRPr="00553649">
        <w:rPr>
          <w:rFonts w:ascii="Times New Roman" w:hAnsi="Times New Roman" w:cs="Times New Roman"/>
        </w:rPr>
        <w:t xml:space="preserve">. The attached sugars could provide a nutrient source for residing microbes or create a barrier for colonization. Additionally, the gel-forming mucin networks trap other </w:t>
      </w:r>
      <w:r w:rsidRPr="00553649">
        <w:rPr>
          <w:rFonts w:ascii="Times New Roman" w:hAnsi="Times New Roman" w:cs="Times New Roman"/>
        </w:rPr>
        <w:lastRenderedPageBreak/>
        <w:t xml:space="preserve">molecules (lipids, peptides, metabolites) from the host and residing microbes, creating a landscape of interaction and signaling between hosts and symbionts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{"citationID":"5Kw0EOqQ","properties":{"formattedCitation":"(Van Rooij et al., 2015)","plainCitation":"(Van Rooij et al., 2015)","noteIndex":0},"citationItems":[{"id":"aW8cvW4I/mecgXid7","uris":["http://zotero.org/users/6401767/items/ETCR2KKV"],"itemData":{"id":126,"type":"article-journal","abstract":"Amphibian declines and extinctions are emblematic for the current sixth mass extinction event. Infectious drivers of these declines include the recently emerged fungal pathogens Batrachochytrium dendrobatidis and Batrachochytrium salamandrivorans (Chytridiomycota). The skin disease caused by these fungi is named chytridiomycosis and affects the vital function of amphibian skin. Not all amphibians respond equally to infection and host responses might range from resistant, over tolerant to susceptible. The clinical outcome of infection is highly dependent on the amphibian host, the fungal virulence and environmental determinants. B. dendrobatidis infects the skin of a large range of anurans, urodeles and caecilians, whereas to date the host range of B. salamandrivorans seems limited to urodeles. So far, the epidemic of B. dendrobatidis is mainly limited to Australian, neotropical, South European and West American amphibians, while for B. salamandrivorans it is limited to European salamanders. Other striking differences between both fungi include gross pathology and thermal preferences. With this review we aim to provide the reader with a state-of-the art of host-pathogen interactions for both fungi, in which new data pertaining to the interaction of B. dendrobatidis and B. salamandrivorans with the host’s skin are integrated. Furthermore, we pinpoint areas in which more detailed studies are necessary or which have not received the attention they merit.","container-title":"Veterinary Research","DOI":"10.1186/s13567-015-0266-0","ISSN":"0928-4249","journalAbbreviation":"Vet Res","note":"PMID: 26607488\nPMCID: PMC4660679","source":"PubMed Central","title":"Amphibian chytridiomycosis: a review with focus on fungus-host interactions","title-short":"Amphibian chytridiomycosis","URL":"https://www.ncbi.nlm.nih.gov/pmc/articles/PMC4660679/","volume":"46","author":[{"family":"Van Rooij","given":"Pascale"},{"family":"Martel","given":"An"},{"family":"Haesebrouck","given":"Freddy"},{"family":"Pasmans","given":"Frank"}],"accessed":{"date-parts":[["2020",7,20]]},"issued":{"date-parts":[["2015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(Van Rooij et al., 2015)</w:t>
      </w:r>
      <w:r w:rsidRPr="00553649">
        <w:rPr>
          <w:rFonts w:ascii="Times New Roman" w:hAnsi="Times New Roman" w:cs="Times New Roman"/>
        </w:rPr>
        <w:fldChar w:fldCharType="end"/>
      </w:r>
      <w:r w:rsidRPr="00553649">
        <w:rPr>
          <w:rFonts w:ascii="Times New Roman" w:hAnsi="Times New Roman" w:cs="Times New Roman"/>
        </w:rPr>
        <w:t xml:space="preserve">. </w:t>
      </w:r>
    </w:p>
    <w:p w14:paraId="2BEE1EEF" w14:textId="0A81F6C9" w:rsidR="007C7BE3" w:rsidRPr="00553649" w:rsidRDefault="007C7BE3" w:rsidP="00C02BDC">
      <w:pPr>
        <w:spacing w:line="360" w:lineRule="auto"/>
        <w:ind w:firstLine="720"/>
        <w:rPr>
          <w:rFonts w:ascii="Times New Roman" w:hAnsi="Times New Roman" w:cs="Times New Roman"/>
        </w:rPr>
      </w:pPr>
      <w:r w:rsidRPr="00553649">
        <w:rPr>
          <w:rFonts w:ascii="Times New Roman" w:hAnsi="Times New Roman" w:cs="Times New Roman"/>
        </w:rPr>
        <w:t xml:space="preserve">Granular glands have received more attention due to their bioactive relevance in predator deterrent, pathogen prevention, and potential </w:t>
      </w:r>
      <w:r w:rsidR="00503996">
        <w:rPr>
          <w:rFonts w:ascii="Times New Roman" w:hAnsi="Times New Roman" w:cs="Times New Roman"/>
        </w:rPr>
        <w:t>medical uses for humans</w:t>
      </w:r>
      <w:r w:rsidRPr="00553649">
        <w:rPr>
          <w:rFonts w:ascii="Times New Roman" w:hAnsi="Times New Roman" w:cs="Times New Roman"/>
        </w:rPr>
        <w:t xml:space="preserve">. These glands are larger and more sporadically distributed than mucosal glands, but are capable of secreting a cocktail of bioactive compounds such as amines, peptides, proteins, and sequestered alkaloids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{"citationID":"Me0zy48C","properties":{"formattedCitation":"(Chen et al., 2003; Pukala et al., 2006)","plainCitation":"(Chen et al., 2003; Pukala et al., 2006)","noteIndex":0},"citationItems":[{"id":20,"uris":["http://zotero.org/users/6401767/items/AMZJWPMV"],"itemData":{"id":20,"type":"article-journal","abstract":"Amphibian defensive skin secretions are complex, species-specific cocktails of biologically active molecules, including many uncharacterized peptides. The study of such secretions for novel peptide discovery is time-limited, as amphibians are in rapid global decline. While secretion proteome analysis is non-lethal, transcriptome analysis has until now required killing of specimens prior to skin dissection for cDNA library construction. Here we present the discovery that polyadenylated mRNAs encoding dermal granular gland peptides are present in defensive skin secretions, stabilized by endogenous nucleic acid-binding amphipathic peptides. Thus parallel secretory proteome and transcriptome analyses can be performed without killing the specimen in this model amphibian system--a finding that has important implications in conservation of biodiversity within this threatened vertebrate taxon and whose mechanistics may have broader implications in biomolecular science.","container-title":"Biochemical Journal","DOI":"10.1042/BJ20021343","ISSN":"0264-6021","issue":"Pt 1","journalAbbreviation":"Biochem J","note":"PMID: 12413397\nPMCID: PMC1223249","page":"125-130","source":"PubMed Central","title":"Granular gland transcriptomes in stimulated amphibian skin secretions.","volume":"371","author":[{"family":"Chen","given":"Tianbao"},{"family":"Farragher","given":"Susan"},{"family":"Bjourson","given":"Anthony J"},{"family":"Orr","given":"David F"},{"family":"Rao","given":"Pingfan"},{"family":"Shaw","given":"Chris"}],"issued":{"date-parts":[["2003",4,1]]}}},{"id":19,"uris":["http://zotero.org/users/6401767/items/Q5BV5LTK"],"itemData":{"id":19,"type":"article-journal","container-title":"Natural Product Reports","DOI":"10.1039/b512118n","ISSN":"0265-0568, 1460-4752","issue":"3","journalAbbreviation":"Nat. Prod. Rep.","language":"en","page":"368","source":"DOI.org (Crossref)","title":"Host-defence peptides from the glandular secretions of amphibians: structure and activity","title-short":"Host-defence peptides from the glandular secretions of amphibians","volume":"23","author":[{"family":"Pukala","given":"Tara L."},{"family":"Bowie","given":"John H."},{"family":"Maselli","given":"Vita M."},{"family":"Musgrave","given":"Ian F."},{"family":"Tyler","given":"Michael J."}],"issued":{"date-parts":[["2006"]]}}}],"schema":"https://github.com/citation-style-language/schema/raw/master/csl-citation.json"}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(Chen et al., 2003; Pukala et al., 2006)</w:t>
      </w:r>
      <w:r w:rsidRPr="00553649">
        <w:rPr>
          <w:rFonts w:ascii="Times New Roman" w:hAnsi="Times New Roman" w:cs="Times New Roman"/>
        </w:rPr>
        <w:fldChar w:fldCharType="end"/>
      </w:r>
      <w:r w:rsidRPr="00553649">
        <w:rPr>
          <w:rFonts w:ascii="Times New Roman" w:hAnsi="Times New Roman" w:cs="Times New Roman"/>
        </w:rPr>
        <w:t xml:space="preserve">. These compounds are multifunctional, aiding in </w:t>
      </w:r>
      <w:r w:rsidR="00503996">
        <w:rPr>
          <w:rFonts w:ascii="Times New Roman" w:hAnsi="Times New Roman" w:cs="Times New Roman"/>
        </w:rPr>
        <w:t>defense</w:t>
      </w:r>
      <w:r w:rsidRPr="00553649">
        <w:rPr>
          <w:rFonts w:ascii="Times New Roman" w:hAnsi="Times New Roman" w:cs="Times New Roman"/>
        </w:rPr>
        <w:t xml:space="preserve"> through neuroactivity </w:t>
      </w:r>
      <w:r w:rsidR="00503996">
        <w:rPr>
          <w:rFonts w:ascii="Times New Roman" w:hAnsi="Times New Roman" w:cs="Times New Roman"/>
        </w:rPr>
        <w:t xml:space="preserve">against animals </w:t>
      </w:r>
      <w:r w:rsidRPr="00553649">
        <w:rPr>
          <w:rFonts w:ascii="Times New Roman" w:hAnsi="Times New Roman" w:cs="Times New Roman"/>
        </w:rPr>
        <w:t xml:space="preserve">and/or antimicrobial activity </w:t>
      </w:r>
      <w:r w:rsidR="00503996">
        <w:rPr>
          <w:rFonts w:ascii="Times New Roman" w:hAnsi="Times New Roman" w:cs="Times New Roman"/>
        </w:rPr>
        <w:t xml:space="preserve">against fungal or bacterial pathogens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{"citationID":"mWJwyaH9","properties":{"formattedCitation":"(Brandon &amp; Huheey, 1981; Conlon, 2011; Roelants et al., 2013)","plainCitation":"(Brandon &amp; Huheey, 1981; Conlon, 2011; Roelants et al., 2013)","noteIndex":0},"citationItems":[{"id":17,"uris":["http://zotero.org/users/6401767/items/VCY97I3G"],"itemData":{"id":17,"type":"article-journal","abstract":"Pseudotriton ruber and P. montanus possess a proteinaceous skin toxin of mol. wt greater than 200,000. In terms of toxicity and amount present in the skin, pseudotritontoxin is comparable to tetrodotoxin, the other toxin in North American salamanders. The pharmacological action of pseudotritontoxin on mice includes the distinctive symptoms of hyperextension of hind legs and lower back, extreme irritability, severe hypothermia, quiescence, prolonged debility, and coma, with time-to-death of an ld50 dosage from 12 to 48 hr. Larger doses cause an increase in severity symptoms with convulsions and death occurring at 1 hr or more. In contrast, lethal doses in young chickens cause convulsions and death in a few minutes. The concentration of toxin is greatest in the back skin, being five times that of belly skin, 35 times that of the gut, 18 times that of the liver, and 17 times that of the ovaries. Pseudotritontoxin is the first toxin to be identified in the Plethodontidae, the largest family of salamanders with over 200 known species. It is unusual in being one of the few amphibian poisons of high mol. wt. It also necessitates a re-examination of the mimetic relationships among the red eft, Notophthalmus viridescens, the red salamander, P. ruber, the midland mud salamander, P. montanus diastictus, and the spring salamander, Gyrinophilus porphyriticus. The best interpretation of this mimicry seems to be that of a Müllerian complex with a spectrum of unpalatability among the species.","container-title":"Toxicon","DOI":"10.1016/0041-0101(81)90114-8","ISSN":"0041-0101","issue":"1","journalAbbreviation":"Toxicon","language":"en","page":"25-31","source":"ScienceDirect","title":"Toxicity in the plethodontid salamanders Pseudotriton ruber and Pseudotriton montanus (Amphibia, Caudata)","volume":"19","author":[{"family":"Brandon","given":"Ronald A."},{"family":"Huheey","given":"James E."}],"issued":{"date-parts":[["1981",1,1]]}}},{"id":27,"uris":["http://zotero.org/users/6401767/items/7PUZ5MM2"],"itemData":{"id":27,"type":"article-journal","abstract":"Cationic peptides that adopt an amphipathic α-helical conformation in a membrane-mimetic environment are synthesized in the skins of many frog species. These peptides often display cytolytic activities against bacteria and fungi consistent with the idea that they play a role in the host’s system of defense against pathogenic microorganisms, but their importance in the survival strategy of the animal is not clearly understood. Despite the common misconception that antimicrobial peptides are synthesized in the skins of all anurans, the species distribution is sporadic, suggesting that their production may confer some evolutionary advantage to the organism but is not necessary for survival. The low potency of many frog skin antimicrobial peptides is consistent with the hypothesis that cutaneous symbiotic bacteria may provide the major system of defense against pathogenic microorganisms in the environment with antimicrobial peptides assuming a supplementary role in some species.","container-title":"Cellular and Molecular Life Sciences","DOI":"10.1007/s00018-011-0720-8","ISSN":"1420-9071","issue":"13","journalAbbreviation":"Cell. Mol. Life Sci.","language":"en","page":"2303-2315","source":"Springer Link","title":"Structural diversity and species distribution of host-defense peptides in frog skin secretions","volume":"68","author":[{"family":"Conlon","given":"J. Michael"}],"issued":{"date-parts":[["2011",7,1]]}}},{"id":18,"uris":["http://zotero.org/users/6401767/items/AGE4QV6D"],"itemData":{"id":18,"type":"article-journal","abstract":"The skin secretion of many amphibians contains an arsenal of bioactive molecules, including hormone-like peptides (HLPs) acting as defense toxins against predators, and antimicrobial peptides (AMPs) providing protection against infectious microorganisms. Several amphibian taxa seem to have independently acquired the genes to produce skin-secreted peptide arsenals, but it remains unknown how these originated from a non-defensive ancestral gene and evolved diverse defense functions against predators and pathogens. We conducted transcriptome, genome, peptidome and phylogenetic analyses to chart the full gene repertoire underlying the defense peptide arsenal of the frog Silurana tropicalis and reconstruct its evolutionary history. Our study uncovers a cluster of 13 transcriptionally active genes, together encoding up to 19 peptides, including diverse HLP homologues and AMPs. This gene cluster arose from a duplicated gastrointestinal hormone gene that attained a HLP-like defense function after major remodeling of its promoter region. Instead, new defense functions, including antimicrobial activity, arose by mutation of the precursor proteins, resulting in the proteolytic processing of secondary peptides alongside the original ones. Although gene duplication did not trigger functional innovation, it may have subsequently facilitated the convergent loss of the original function in multiple gene lineages (subfunctionalization), completing their transformation from HLP gene to AMP gene. The processing of multiple peptides from a single precursor entails a mechanism through which peptide-encoding genes may establish new functions without the need for gene duplication to avoid adaptive conflicts with older ones.","container-title":"PLOS Genetics","DOI":"10.1371/journal.pgen.1003662","ISSN":"1553-7404","issue":"8","journalAbbreviation":"PLOS Genetics","language":"en","note":"publisher: Public Library of Science","page":"e1003662","source":"PLoS Journals","title":"Origin and Functional Diversification of an Amphibian Defense Peptide Arsenal","volume":"9","author":[{"family":"Roelants","given":"Kim"},{"family":"Fry","given":"Bryan G."},{"family":"Ye","given":"Lumeng"},{"family":"Stijlemans","given":"Benoit"},{"family":"Brys","given":"Lea"},{"family":"Kok","given":"Philippe"},{"family":"Clynen","given":"Elke"},{"family":"Schoofs","given":"Liliane"},{"family":"Cornelis","given":"Pierre"},{"family":"Bossuyt","given":"Franky"}],"issued":{"date-parts":[["2013",8,1]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(Brandon &amp; Huheey, 1981; Conlon, 2011; Roelants et al., 2013)</w:t>
      </w:r>
      <w:r w:rsidRPr="00553649">
        <w:rPr>
          <w:rFonts w:ascii="Times New Roman" w:hAnsi="Times New Roman" w:cs="Times New Roman"/>
        </w:rPr>
        <w:fldChar w:fldCharType="end"/>
      </w:r>
      <w:r w:rsidRPr="00553649">
        <w:rPr>
          <w:rFonts w:ascii="Times New Roman" w:hAnsi="Times New Roman" w:cs="Times New Roman"/>
        </w:rPr>
        <w:t xml:space="preserve">. Peptides with antimicrobial capabilities exhibit </w:t>
      </w:r>
      <w:r w:rsidRPr="00553649">
        <w:rPr>
          <w:rFonts w:ascii="Times New Roman" w:hAnsi="Times New Roman" w:cs="Times New Roman"/>
        </w:rPr>
        <w:sym w:font="Symbol" w:char="F061"/>
      </w:r>
      <w:r w:rsidRPr="00553649">
        <w:rPr>
          <w:rFonts w:ascii="Times New Roman" w:hAnsi="Times New Roman" w:cs="Times New Roman"/>
        </w:rPr>
        <w:t xml:space="preserve">-helical or </w:t>
      </w:r>
      <w:r w:rsidRPr="00553649">
        <w:rPr>
          <w:rFonts w:ascii="Times New Roman" w:hAnsi="Times New Roman" w:cs="Times New Roman"/>
        </w:rPr>
        <w:sym w:font="Symbol" w:char="F062"/>
      </w:r>
      <w:r w:rsidRPr="00553649">
        <w:rPr>
          <w:rFonts w:ascii="Times New Roman" w:hAnsi="Times New Roman" w:cs="Times New Roman"/>
        </w:rPr>
        <w:t xml:space="preserve">-sheet </w:t>
      </w:r>
      <w:r w:rsidR="00503996">
        <w:rPr>
          <w:rFonts w:ascii="Times New Roman" w:hAnsi="Times New Roman" w:cs="Times New Roman"/>
        </w:rPr>
        <w:t>conformations</w:t>
      </w:r>
      <w:r w:rsidRPr="00553649">
        <w:rPr>
          <w:rFonts w:ascii="Times New Roman" w:hAnsi="Times New Roman" w:cs="Times New Roman"/>
        </w:rPr>
        <w:t xml:space="preserve"> and exert effects via toroidal pore</w:t>
      </w:r>
      <w:r w:rsidR="00BC478F" w:rsidRPr="00553649">
        <w:rPr>
          <w:rFonts w:ascii="Times New Roman" w:hAnsi="Times New Roman" w:cs="Times New Roman"/>
        </w:rPr>
        <w:t xml:space="preserve"> </w:t>
      </w:r>
      <w:r w:rsidRPr="00553649">
        <w:rPr>
          <w:rFonts w:ascii="Times New Roman" w:hAnsi="Times New Roman" w:cs="Times New Roman"/>
        </w:rPr>
        <w:t xml:space="preserve">or carpet mechanisms </w:t>
      </w:r>
      <w:r w:rsidR="00BC478F" w:rsidRPr="00553649">
        <w:rPr>
          <w:rFonts w:ascii="Times New Roman" w:hAnsi="Times New Roman" w:cs="Times New Roman"/>
        </w:rPr>
        <w:t>and</w:t>
      </w:r>
      <w:r w:rsidRPr="00553649">
        <w:rPr>
          <w:rFonts w:ascii="Times New Roman" w:hAnsi="Times New Roman" w:cs="Times New Roman"/>
        </w:rPr>
        <w:t xml:space="preserve"> can act synergistically to elicit effects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{"citationID":"v4lu0Pg9","properties":{"formattedCitation":"(Huan et al., 2020; Rollins-Smith, 2009)","plainCitation":"(Huan et al., 2020; Rollins-Smith, 2009)","noteIndex":0},"citationItems":[{"id":16,"uris":["http://zotero.org/users/6401767/items/4VQDHD7K"],"itemData":{"id":16,"type":"article-journal","abstract":"Antimicrobial peptides (AMPs) are a class of small peptides that widely exist in nature and they are an important part of the innate immune system of different organisms. AMPs have a wide range of inhibitory effects against bacteria, fungi, parasites and viruses. The emergence of antibiotic-resistant microorganisms and the increasing of concerns about the use of antibiotics resulted in the development of AMPs, which have a good application prospect in medicine, food, animal husbandry, agriculture and aquaculture. This review introduces the progress of research on AMPs comprehensively and systematically, including their classification, mechanism of action, design methods, environmental factors affecting their activity, application status, prospects in various fields and problems to be solved. The research progress on antivirus peptides, especially anti-coronavirus (COVID-19) peptides, has been introduced given the COVID-19 pandemic worldwide in 2020.","container-title":"Frontiers in Microbiology","ISSN":"1664-302X","source":"Frontiers","title":"Antimicrobial Peptides: Classification, Design, Application and Research Progress in Multiple Fields","title-short":"Antimicrobial Peptides","URL":"https://www.frontiersin.org/articles/10.3389/fmicb.2020.582779","volume":"11","author":[{"family":"Huan","given":"Yuchen"},{"family":"Kong","given":"Qing"},{"family":"Mou","given":"Haijin"},{"family":"Yi","given":"Huaxi"}],"accessed":{"date-parts":[["2023",6,16]]},"issued":{"date-parts":[["2020"]]}}},{"id":246,"uris":["http://zotero.org/users/6401767/items/JAWQWEDT"],"itemData":{"id":246,"type":"article-journal","abstract":"Amphibian species have experienced population declines and extinctions worldwide that are unprecedented in recent history. Many of these recent declines have been linked to a pathogenic skin fungus, Batrachochytrium dendrobatidis, or to iridoviruses of the genus Ranavirus. One of the first lines of defense against pathogens that enter by way of the skin are antimicrobial peptides synthesized and stored in dermal granular glands and secreted into the mucus following alarm or injury. Here, I review what is known about the capacity of amphibian antimicrobial peptides from diverse amphibians to inhibit B. dendrobatidis or ranavirus infections. When multiple species were compared for the effectiveness of their in vitro antimicrobial peptides defenses against B. dendrobatidis, non-declining species of rainforest amphibians had more effective antimicrobial peptides than species in the same habitat that had recently experienced population declines. Further, there was a significant correlation between the effectiveness of the antimicrobial peptides and resistance of the species to experimental infection. These studies support the hypothesis that antimicrobial peptides are an important component of innate defenses against B. dendrobatidis. Some amphibian antimicrobial peptides inhibit ranavirus infections and infection of human T lymphocytes by the human immunodeficiency virus (HIV). An effective antimicrobial peptide defense against skin pathogens appears to depend on a diverse array of genes expressing antimicrobial peptides. The production of antimicrobial peptides may be regulated by signals from the pathogens. However, this defense must also accommodate potentially beneficial microbes on the skin that compete or inhibit growth of the pathogens. How this delicate balancing act is accomplished is an important area of future research.","collection-title":"Amphibian Antimicrobial Peptides","container-title":"Biochimica et Biophysica Acta (BBA) - Biomembranes","DOI":"10.1016/j.bbamem.2009.03.008","ISSN":"0005-2736","issue":"8","journalAbbreviation":"Biochimica et Biophysica Acta (BBA) - Biomembranes","language":"en","page":"1593-1599","source":"ScienceDirect","title":"The role of amphibian antimicrobial peptides in protection of amphibians from pathogens linked to global amphibian declines","volume":"1788","author":[{"family":"Rollins-Smith","given":"Louise A."}],"issued":{"date-parts":[["2009",8,1]]}}}],"schema":"https://github.com/citation-style-language/schema/raw/master/csl-citation.json"}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(Huan et al., 2020; Rollins-Smith, 2009)</w:t>
      </w:r>
      <w:r w:rsidRPr="00553649">
        <w:rPr>
          <w:rFonts w:ascii="Times New Roman" w:hAnsi="Times New Roman" w:cs="Times New Roman"/>
        </w:rPr>
        <w:fldChar w:fldCharType="end"/>
      </w:r>
      <w:r w:rsidRPr="00553649">
        <w:rPr>
          <w:rFonts w:ascii="Times New Roman" w:hAnsi="Times New Roman" w:cs="Times New Roman"/>
        </w:rPr>
        <w:t xml:space="preserve">. The evolution of these genes arose through duplication events, followed by modifications for skin deployment of short, complex sequences bioactive in both mature and cleaved states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{"citationID":"nDtk2WJi","properties":{"formattedCitation":"(Pukala et al., 2006; Roelants et al., 2013; X. Xu &amp; Lai, 2015)","plainCitation":"(Pukala et al., 2006; Roelants et al., 2013; X. Xu &amp; Lai, 2015)","noteIndex":0},"citationItems":[{"id":19,"uris":["http://zotero.org/users/6401767/items/Q5BV5LTK"],"itemData":{"id":19,"type":"article-journal","container-title":"Natural Product Reports","DOI":"10.1039/b512118n","ISSN":"0265-0568, 1460-4752","issue":"3","journalAbbreviation":"Nat. Prod. Rep.","language":"en","page":"368","source":"DOI.org (Crossref)","title":"Host-defence peptides from the glandular secretions of amphibians: structure and activity","title-short":"Host-defence peptides from the glandular secretions of amphibians","volume":"23","author":[{"family":"Pukala","given":"Tara L."},{"family":"Bowie","given":"John H."},{"family":"Maselli","given":"Vita M."},{"family":"Musgrave","given":"Ian F."},{"family":"Tyler","given":"Michael J."}],"issued":{"date-parts":[["2006"]]}}},{"id":18,"uris":["http://zotero.org/users/6401767/items/AGE4QV6D"],"itemData":{"id":18,"type":"article-journal","abstract":"The skin secretion of many amphibians contains an arsenal of bioactive molecules, including hormone-like peptides (HLPs) acting as defense toxins against predators, and antimicrobial peptides (AMPs) providing protection against infectious microorganisms. Several amphibian taxa seem to have independently acquired the genes to produce skin-secreted peptide arsenals, but it remains unknown how these originated from a non-defensive ancestral gene and evolved diverse defense functions against predators and pathogens. We conducted transcriptome, genome, peptidome and phylogenetic analyses to chart the full gene repertoire underlying the defense peptide arsenal of the frog Silurana tropicalis and reconstruct its evolutionary history. Our study uncovers a cluster of 13 transcriptionally active genes, together encoding up to 19 peptides, including diverse HLP homologues and AMPs. This gene cluster arose from a duplicated gastrointestinal hormone gene that attained a HLP-like defense function after major remodeling of its promoter region. Instead, new defense functions, including antimicrobial activity, arose by mutation of the precursor proteins, resulting in the proteolytic processing of secondary peptides alongside the original ones. Although gene duplication did not trigger functional innovation, it may have subsequently facilitated the convergent loss of the original function in multiple gene lineages (subfunctionalization), completing their transformation from HLP gene to AMP gene. The processing of multiple peptides from a single precursor entails a mechanism through which peptide-encoding genes may establish new functions without the need for gene duplication to avoid adaptive conflicts with older ones.","container-title":"PLOS Genetics","DOI":"10.1371/journal.pgen.1003662","ISSN":"1553-7404","issue":"8","journalAbbreviation":"PLOS Genetics","language":"en","note":"publisher: Public Library of Science","page":"e1003662","source":"PLoS Journals","title":"Origin and Functional Diversification of an Amphibian Defense Peptide Arsenal","volume":"9","author":[{"family":"Roelants","given":"Kim"},{"family":"Fry","given":"Bryan G."},{"family":"Ye","given":"Lumeng"},{"family":"Stijlemans","given":"Benoit"},{"family":"Brys","given":"Lea"},{"family":"Kok","given":"Philippe"},{"family":"Clynen","given":"Elke"},{"family":"Schoofs","given":"Liliane"},{"family":"Cornelis","given":"Pierre"},{"family":"Bossuyt","given":"Franky"}],"issued":{"date-parts":[["2013",8,1]]}}},{"id":14,"uris":["http://zotero.org/users/6401767/items/PMEFMSW2"],"itemData":{"id":14,"type":"article-journal","container-title":"Chemical Reviews","DOI":"10.1021/cr4006704","ISSN":"0009-2665","issue":"4","journalAbbreviation":"Chem. Rev.","note":"publisher: American Chemical Society","page":"1760-1846","source":"ACS Publications","title":"The Chemistry and Biological Activities of Peptides from Amphibian Skin Secretions","volume":"115","author":[{"family":"Xu","given":"Xueqing"},{"family":"Lai","given":"Ren"}],"issued":{"date-parts":[["2015",2,25]]}}}],"schema":"https://github.com/citation-style-language/schema/raw/master/csl-citation.json"}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(Pukala et al., 2006; Roelants et al., 2013; X. Xu &amp; Lai, 2015)</w:t>
      </w:r>
      <w:r w:rsidRPr="00553649">
        <w:rPr>
          <w:rFonts w:ascii="Times New Roman" w:hAnsi="Times New Roman" w:cs="Times New Roman"/>
        </w:rPr>
        <w:fldChar w:fldCharType="end"/>
      </w:r>
      <w:r w:rsidRPr="00553649">
        <w:rPr>
          <w:rFonts w:ascii="Times New Roman" w:hAnsi="Times New Roman" w:cs="Times New Roman"/>
        </w:rPr>
        <w:t xml:space="preserve">. While the signal portion of AMPs are highly conserved for storage and transport in the cell, bioactive portions are hypervariable and can differ within species and populations of the same species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{"citationID":"CeZOaVWo","properties":{"formattedCitation":"(Tennessen et al., 2009)","plainCitation":"(Tennessen et al., 2009)","noteIndex":0},"citationItems":[{"id":13,"uris":["http://zotero.org/users/6401767/items/UDJZWZ28"],"itemData":{"id":13,"type":"article-journal","abstract":"The northern leopard frog (Rana pipiens or Lithobates pipiens) is historically found in most of the provinces of Canada and the northern and southwest states of the United States. In the last 50 years, populations have suffered significant losses, especially in the western regions of the species range. Using a peptidomics approach, we show that the pattern of expressed antimicrobial skin peptides of frogs from three geographically separated populations are distinct, and we report the presence of four peptides (brevinin-1Pg, brevinin-1Pl, ranatuerin-2Pb, and ranatuerin-2Pc) that have not previously been found in skin secretions. The differences in expressed peptides reflect differences in the distribution of alleles for the newly described Brevinin1.1 locus in the three populations. When enriched peptide mixtures were tested for their ability to inhibit growth of the pathogenic amphibian chytrid (Batrachochytrium dendrobatidis), peptides from Minnesota or Vermont frogs were more effective that peptides from Michigan frogs. Four of the purified peptides were tested for their ability to inhibit growth of two bacterial pathogens (Aeromonas hydrophila and Staphylococcus epidermidis) and B. dendrobatidis. Three of the four were effective inhibitors of B. dendrobatidis and S. epidermidis, but none inhibited A. hydrophila. We interpret these differences in expression and activity of antimicrobial peptides as evidence to suggest that each population may have been selected to express a suite of peptides that reflects current and past encounters with skin microbes.","container-title":"Developmental and comparative immunology","DOI":"10.1016/j.dci.2009.07.004","ISSN":"0145-305X","issue":"12","journalAbbreviation":"Dev Comp Immunol","note":"PMID: 19622371\nPMCID: PMC2927990","page":"1247-1257","source":"PubMed Central","title":"Variations in the expressed antimicrobial peptide repertoire of northern leopard frog (Rana pipiens) populations suggest intraspecies differences in resistance to pathogens","volume":"33","author":[{"family":"Tennessen","given":"Jacob A."},{"family":"Woodhams","given":"Douglas C."},{"family":"Chaurand","given":"Pierre"},{"family":"Reinert","given":"Laura K."},{"family":"Billheimer","given":"Dean"},{"family":"Shyr","given":"Yu"},{"family":"Caprioli","given":"Richard M."},{"family":"Blouin","given":"Michael S."},{"family":"Rollins-Smith","given":"Louise A."}],"issued":{"date-parts":[["2009",12]]}}}],"schema":"https://github.com/citation-style-language/schema/raw/master/csl-citation.json"}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(Tennessen et al., 2009)</w:t>
      </w:r>
      <w:r w:rsidRPr="00553649">
        <w:rPr>
          <w:rFonts w:ascii="Times New Roman" w:hAnsi="Times New Roman" w:cs="Times New Roman"/>
        </w:rPr>
        <w:fldChar w:fldCharType="end"/>
      </w:r>
      <w:r w:rsidRPr="00553649">
        <w:rPr>
          <w:rFonts w:ascii="Times New Roman" w:hAnsi="Times New Roman" w:cs="Times New Roman"/>
        </w:rPr>
        <w:t xml:space="preserve">. Nearly 2,000 peptides have been cataloged from over 20 genera of anurans and can be broadly classified into 100 families according to amino acid sequences and predicted/observed function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{"citationID":"UfsXYePS","properties":{"formattedCitation":"(X. Xu &amp; Lai, 2015)","plainCitation":"(X. Xu &amp; Lai, 2015)","noteIndex":0},"citationItems":[{"id":14,"uris":["http://zotero.org/users/6401767/items/PMEFMSW2"],"itemData":{"id":14,"type":"article-journal","container-title":"Chemical Reviews","DOI":"10.1021/cr4006704","ISSN":"0009-2665","issue":"4","journalAbbreviation":"Chem. Rev.","note":"publisher: American Chemical Society","page":"1760-1846","source":"ACS Publications","title":"The Chemistry and Biological Activities of Peptides from Amphibian Skin Secretions","volume":"115","author":[{"family":"Xu","given":"Xueqing"},{"family":"Lai","given":"Ren"}],"issued":{"date-parts":[["2015",2,25]]}}}],"schema":"https://github.com/citation-style-language/schema/raw/master/csl-citation.json"}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(X. Xu &amp; Lai, 2015)</w:t>
      </w:r>
      <w:r w:rsidRPr="00553649">
        <w:rPr>
          <w:rFonts w:ascii="Times New Roman" w:hAnsi="Times New Roman" w:cs="Times New Roman"/>
        </w:rPr>
        <w:fldChar w:fldCharType="end"/>
      </w:r>
      <w:r w:rsidRPr="00553649">
        <w:rPr>
          <w:rFonts w:ascii="Times New Roman" w:hAnsi="Times New Roman" w:cs="Times New Roman"/>
        </w:rPr>
        <w:t xml:space="preserve">. In caudates, less research has been conducted, but evidence suggests most species possess the capacity to generate cytolytic compounds from granular glands </w:t>
      </w:r>
      <w:r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{"citationID":"lEOpwEo7","properties":{"formattedCitation":"(Fredericks &amp; Dankert, 2000; Jim\\uc0\\u233{}nez et al., 2022; Meng et al., 2013; Pereira et al., 2023; Sheafor et al., 2008; H. K. Smith et al., 2018; von Byern et al., 2017)","plainCitation":"(Fredericks &amp; Dankert, 2000; Jiménez et al., 2022; Meng et al., 2013; Pereira et al., 2023; Sheafor et al., 2008; H. K. Smith et al., 2018; von Byern et al., 2017)","noteIndex":0},"citationItems":[{"id":12,"uris":["http://zotero.org/users/6401767/items/F7UPW74R"],"itemData":{"id":12,"type":"article-journal","abstract":"As resistance increases against fungal antibiotics, antimicrobial peptides are receiving attention as possible replacements. The dermal glands of frogs secrete, among other things, antimicrobial peptides. As part of the innate immune system, stressors may affect the production of antimicrobial peptides by dermal glands. The dermal secretions of some salamanders have been examined for their toxic secretions, but little attention has been given to salamander antimicrobial peptides. This study examines the skin from the tail region for the production of antimicrobial peptides in the terrestrial salamander, Plethodon cinereus. Fractions of tail extracts were isolated using cation-exchange chromatography and reverse-phase HPLC. An HPLC fraction eluting at 15.75 min (HPLC run: 30 min, 30-80% acetonitrile/water gradient, Aquapore RP-300 C18 column) showed activity against Staphylococcus aureus but not against Escherichia coli. The antibacterial activity gradually increased over a 4-hr incubation time up to about 85% inhibition of bacterial growth. Lysis of guinea pig red blood cells also increased gradually over a 1-hr time period. J. Exp. Zool. 287:340-345, 2000.","container-title":"The Journal of experimental zoology","DOI":"10.1002/1097-010X(20001001)287:53.0.CO;2-9","journalAbbreviation":"The Journal of experimental zoology","page":"340-5","source":"ResearchGate","title":"Antibacterial and hemolytic activity of the skin of the terrestrial salamander,Plethodon cinereus","volume":"287","author":[{"family":"Fredericks","given":"Lisa"},{"family":"Dankert","given":"John"}],"issued":{"date-parts":[["2000",11,1]]}}},{"id":290,"uris":["http://zotero.org/users/6401767/items/G648SSCX"],"itemData":{"id":290,"type":"article-journal","abstract":"Mucosal defenses are crucial in animals for protection against pathogens and predators. Host defense peptides (antimicrobial peptides, AMPs) as well as skin-associated microbes are key components of mucosal immunity, particularly in amphibians. We integrate microbiology, molecular biology, network-thinking, and proteomics to understand how host and microbially derived products on amphibian skin (referred to as the mucosome) serve as pathogen defenses. We studied defense mechanisms against chytrid pathogens, Batrachochytrium dendrobatidis (Bd) and B. salamandrivorans (Bsal), in four salamander species with different Batrachochytrium susceptibilities. Bd infection was quantiﬁed using qPCR, mucosome function (i.e., ability to kill Bd or Bsal zoospores in vitro), skin bacterial communities using 16S rRNA gene amplicon sequencing, and the role of Bd-inhibitory bacteria in microbial networks across all species. We explored the presence of candidate-AMPs in eastern newts and red-backed salamanders. Eastern newts had the highest Bd prevalence and mucosome function, while red-back salamanders had the lowest Bd prevalence and mucosome function, and two-lined salamanders and seal salamanders were intermediates. Salamanders with highest Bd infection intensity showed greater mucosome function. Bd infection prevalence signiﬁcantly decreased as putative Bdinhibitory bacterial richness and relative abundance increased on hosts. In co-occurrence networks, some putative Bd-inhibitory bacteria were found as hub-taxa, with red-backs having the highest proportion of protective hubs and positive associations related to putative Bd-inhibitory hub bacteria. We found more AMP candidates on salamanders with lower Bd susceptibility. These ﬁndings suggest that salamanders possess distinct innate mechanisms that affect chytrid fungi.","container-title":"Applied and Environmental Microbiology","DOI":"10.1128/aem.01818-21","ISSN":"0099-2240, 1098-5336","issue":"8","journalAbbreviation":"Appl Environ Microbiol","language":"en","page":"e01818-21","source":"DOI.org (Crossref)","title":"Inhibitory Bacterial Diversity and Mucosome Function Differentiate Susceptibility of Appalachian Salamanders to Chytrid Fungal Infection","volume":"88","author":[{"family":"Jiménez","given":"Randall R."},{"family":"Carfagno","given":"Amy"},{"family":"Linhoff","given":"Luke"},{"family":"Gratwicke","given":"Brian"},{"family":"Woodhams","given":"Douglas C."},{"family":"Chafran","given":"Liana Soares"},{"family":"Bletz","given":"Molly C."},{"family":"Bishop","given":"Barney"},{"family":"Muletz-Wolz","given":"Carly R."}],"editor":[{"family":"Reguera","given":"Gemma"}],"issued":{"date-parts":[["2022",4,26]]}}},{"id":11,"uris":["http://zotero.org/users/6401767/items/JPPYN7QN"],"itemData":{"id":11,"type":"article-journal","abstract":"Antimicrobial peptides have been widely identified from amphibian skins except salamanders. A novel antimicrobial peptide (CFBD) was isolated and characterized from skin secretions of the salamander, Cynops fudingensis. The cDNA encoding CFBD precursor was cloned from the skin cDNA library of C. fudingensis. The precursor was composed of three domains: signal peptide of 17 residues, mature peptide of 41 residues and intervening propeptide of 3 residues. There are six cysteines in the sequence of mature CFBD peptide, which possibly form three disulfide-bridges. CFBD showed antimicrobial activities against Staphylococcus aureus, Bacillus subtilis, Candida albicans and Escherichia coli. This peptide could be classified into family of β-defensin based on its seqeuence similarity with β-defensins from other vertebrates. Evolution analysis indicated that CFBD was close to fish β-defensin. As far as we know, CFBD is the first β-defensin antimicrobial peptide from salamanders.","container-title":"PLOS ONE","DOI":"10.1371/journal.pone.0083044","ISSN":"1932-6203","issue":"12","journalAbbreviation":"PLOS ONE","language":"en","note":"publisher: Public Library of Science","page":"e83044","source":"PLoS Journals","title":"The First Salamander Defensin Antimicrobial Peptide","volume":"8","author":[{"family":"Meng","given":"Ping"},{"family":"Yang","given":"Shilong"},{"family":"Shen","given":"Chuanbin"},{"family":"Jiang","given":"Ke"},{"family":"Rong","given":"Mingqiang"},{"family":"Lai","given":"Ren"}],"issued":{"date-parts":[["2013",12,30]]}}},{"id":67,"uris":["http://zotero.org/users/6401767/items/7M2KD5XQ"],"itemData":{"id":67,"type":"article-journal","abstract":"Given the current and future costs of antibiotic-resistant bacteria to human health and economic productivity, there is an urgent need to develop new antimicrobial compounds. Antimicrobial peptides are a promising alternative to conventional antibiotics and other antimicrobials. Amphibian skin is a rich source of bioactive compounds, but the antibacterial properties of salamander skin peptides have been neglected. Here, we examined the in vitro ability of skin peptides from 9 species of salamander representing 6 salamander families to inhibit the growth of ESKAPE pathogens, which are bacteria that have developed resistance to conventional antibiotics. We also examined whether the skin peptides caused lysis of human red blood cells. Skin peptides from Amphiuma tridactylum had the greatest antimicrobial properties, completely inhibiting the growth of all bacterial strains except for Enterococcus faecium. Likewise, skin peptides from Cryptobranchus alleganiensis completely inhibited the growth of several of the bacterial strains. In contrast, skin peptide mixtures from Ambystoma maculatum, Desmognathus fuscus, Eurycea bislineata, E. longicauda, Necturus beyeri, N. maculosus, and Siren intermedia did not completely inhibit bacterial growth even at the highest concentrations. Finally, none of the skin peptide mixtures caused lysis of human red blood cells. Together, we demonstrate that salamander skin produces peptides with potent antibacterial properties. It remains to elucidate the peptide sequences and their antibacterial mechanisms.","container-title":"Current Microbiology","DOI":"10.1007/s00284-023-03320-1","ISSN":"1432-0991","issue":"7","journalAbbreviation":"Curr Microbiol","language":"en","page":"214","source":"Springer Link","title":"In Vitro Investigation of the Antibacterial Activity of Salamander Skin Peptides","volume":"80","author":[{"family":"Pereira","given":"Kenzie E."},{"family":"Deslouches","given":"Jakobi T."},{"family":"Deslouches","given":"Berthony"},{"family":"Woodley","given":"Sarah K."}],"issued":{"date-parts":[["2023",5,17]]}}},{"id":10,"uris":["http://zotero.org/users/6401767/items/KW2GTW4A"],"itemData":{"id":10,"type":"article-journal","abstract":"Skin peptides were collected from living Ambystoma tigrinum larvae and adults and tested against two emerging pathogens, Batrachochytrium dendrobatidis and the Ambystoma tigrinum virus (ATV), as well as bacteria isolated from A. tigrinum. Natural mixtures of skin peptides were found to inhibit growth of B. dendrobatidis, Staphylococcus aureus, and Klebsiella sp., but activity against ATV was unpredictable. Skin peptides collected from salamanders held at three environmentally relevant temperatures differed in activity against B. dendrobatidis. Activity of the A. tigrinum skin peptides was found to be strongly influenced by pH.","container-title":"Journal of Wildlife Diseases","DOI":"10.7589/0090-3558-44.2.226","ISSN":"0090-3558","issue":"2","journalAbbreviation":"Journal of Wildlife Diseases","language":"en","page":"226-236","source":"DOI.org (Crossref)","title":"ANTIMICROBIAL PEPTIDE DEFENSES IN THE SALAMANDER, AMBYSTOMA TIGRINUM, AGAINST EMERGING AMPHIBIAN PATHOGENS","volume":"44","author":[{"family":"Sheafor","given":"Brandon"},{"family":"Davidson","given":"Elizabeth W."},{"family":"Parr","given":"Luke"},{"family":"Rollins-Smith","given":"Louise"}],"issued":{"date-parts":[["2008",4]]}}},{"id":492,"uris":["http://zotero.org/users/6401767/items/G7NST979"],"itemData":{"id":492,"type":"article-journal","abstract":"Recently emerged fungal diseases, Batrachochytrium dendrobatidis (Bd) and Batrachochytrium salamandrivorans (Bsal) are an increasing threat to amphibians worldwide. In Europe, the threat of Bsal to salamander populations is demonstrated by the rapid decline of fire salamander populations in Germany, the Netherlands and Belgium. Although most European urodelans are susceptible to infection in infection trials, recent evidence suggests marked interspecific differences in the course of infection, with potentially far reaching implications for salamander conservation. As a salamander’s skin is the first line of defense against such pathogens, interspecific differences in innate immune function of the skin may explain differential susceptibility. Here we investigate if compounds present on a salamander’s skin can kill Bsal spores and if there is variation among species. We used a non-invasive assay to compare killing ability of salamander mucosomes of four different species (captive and wild Salamandra salamandra and captive Ichtyosaura alpestris, Cynops pyrrhogaster and Lissotriton helveticus) by exposing Bsal zoospores to salamander mucosomes and determining spore survival. In all samples, zoospores were killed when exposed to mucosomes. Moreover, we saw a significant variation in this Bsal killing ability of mucosomes between different salamander host species. Our results indicate that mucosomes of salamanders might provide crucial skin protection against Bsal, and could explain why some species are more susceptible than others. This study represents a step towards better understanding host species variation in innate immune function and disease susceptibility in amphibians.","container-title":"PLoS ONE","DOI":"10.1371/journal.pone.0199295","ISSN":"1932-6203","issue":"7","journalAbbreviation":"PLoS One","note":"PMID: 30020936\nPMCID: PMC6051575","source":"PubMed Central","title":"Skin mucosome activity as an indicator of Batrachochytrium salamandrivorans susceptibility in salamanders","URL":"https://www.ncbi.nlm.nih.gov/pmc/articles/PMC6051575/","volume":"13","author":[{"family":"Smith","given":"Hannah Keely"},{"family":"Pasmans","given":"Frank"},{"family":"Dhaenens","given":"Maarten"},{"family":"Deforce","given":"Dieter"},{"family":"Bonte","given":"Dries"},{"family":"Verheyen","given":"Kris"},{"family":"Lens","given":"Luc"},{"family":"Martel","given":"An"}],"accessed":{"date-parts":[["2021",1,12]]},"issued":{"date-parts":[["2018",7,18]]}}},{"id":7,"uris":["http://zotero.org/users/6401767/items/I7T6NGT2"],"itemData":{"id":7,"type":"article-journal","abstract":"Salamanders have evolved a wide variety of antipredator mechanisms and behavior patterns, including toxins and noxious or adhesive skin secretions. The high bonding strength of the natural bioadhesives makes these substances interesting for biomimetic research and applications in industrial and medical sectors. Secretions of toxic species may help to understand the direct effect of harmful substances on the cellular level.","container-title":"Toxicon","DOI":"10.1016/j.toxicon.2017.05.021","ISSN":"00410101","journalAbbreviation":"Toxicon","language":"en","page":"24-32","source":"DOI.org (Crossref)","title":"Salamanders on the bench – A biocompatibility study of salamander skin secretions in cell cultures","volume":"135","author":[{"family":"Byern","given":"Janek","non-dropping-particle":"von"},{"family":"Mebs","given":"Dietrich"},{"family":"Heiss","given":"Egon"},{"family":"Dicke","given":"Ursula"},{"family":"Wetjen","given":"Oliver"},{"family":"Bakkegard","given":"Kristin"},{"family":"Grunwald","given":"Ingo"},{"family":"Wolbank","given":"Susanne"},{"family":"Mühleder","given":"Severin"},{"family":"Gugerell","given":"Alfred"},{"family":"Fuchs","given":"Heidemarie"},{"family":"Nürnberger","given":"Sylvia"}],"issued":{"date-parts":[["2017",9]]}}}],"schema":"https://github.com/citation-style-language/schema/raw/master/csl-citation.json"} </w:instrText>
      </w:r>
      <w:r w:rsidRPr="00553649">
        <w:rPr>
          <w:rFonts w:ascii="Times New Roman" w:hAnsi="Times New Roman" w:cs="Times New Roman"/>
        </w:rPr>
        <w:fldChar w:fldCharType="separate"/>
      </w:r>
      <w:r w:rsidR="00CB244F" w:rsidRPr="00CB244F">
        <w:rPr>
          <w:rFonts w:ascii="Times New Roman" w:hAnsi="Times New Roman" w:cs="Times New Roman"/>
        </w:rPr>
        <w:t>(Fredericks &amp; Dankert, 2000; Jiménez et al., 2022; Meng et al., 2013; Pereira et al., 2023; Sheafor et al., 2008; H. K. Smith et al., 2018; von Byern et al., 2017)</w:t>
      </w:r>
      <w:r w:rsidRPr="00553649">
        <w:rPr>
          <w:rFonts w:ascii="Times New Roman" w:hAnsi="Times New Roman" w:cs="Times New Roman"/>
        </w:rPr>
        <w:fldChar w:fldCharType="end"/>
      </w:r>
      <w:r w:rsidRPr="00553649">
        <w:rPr>
          <w:rFonts w:ascii="Times New Roman" w:hAnsi="Times New Roman" w:cs="Times New Roman"/>
        </w:rPr>
        <w:t xml:space="preserve">. Caudal courtship and mental glands also occur in plethodontid salamanders. These glands are associated with mating and vary seasonally regarding size and content and likely have limited relevance to the assembly of the skin microbiome outside of breeding season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{"citationID":"CRin87UR","properties":{"formattedCitation":"(Rupp &amp; Sever, 2018; Sever &amp; Siegel, 2015)","plainCitation":"(Rupp &amp; Sever, 2018; Sever &amp; Siegel, 2015)","noteIndex":0},"citationItems":[{"id":204,"uris":["http://zotero.org/users/6401767/items/NLA25UP9"],"itemData":{"id":204,"type":"article-journal","abstract":"Salamanders in the family Plethodontidae exhibit a unique tail-straddle walk during courtship that can include the use of sexually dimorphic mental and caudal courtship glands. This study presents novel histological and fine structure data on mental glands and caudal courtship glands in Plethodon mississippi, Desmognathus conanti and Eurycea quadridigitata using both light microscopy and scanning electron microscopy. This study represents the first use of scanning electron microscopy to observe these glands. Both mental and caudal courtship glands were observed to vary seasonally in gland diameter and histology according to the breeding season of each species. Morphological variation was observed across the three species studied in both clustering and relative size of the glands compared to neighbouring mucous and granular glands. Hypertrophied mental glands are larger than mucous or granular glands in all species, but relationships among caudal courtship glands and other skin glands vary among species. In E. quadridigitata, active caudal courtship glands are larger than mucous and granular glands, but in D. conanti, caudal courtship glands are similar in size to granular glands and larger than mucous glands. In P. mississippi, caudal courtship glands are scattered among significantly larger granular glands and are similar in size to mucous glands.","container-title":"Acta Zoologica","DOI":"10.1111/azo.12188","ISSN":"1463-6395","issue":"1","language":"en","license":"© 2017 The Royal Swedish Academy of Sciences","note":"_eprint: https://onlinelibrary.wiley.com/doi/pdf/10.1111/azo.12188","page":"20-31","source":"Wiley Online Library","title":"Histology of mental and caudal courtship glands in three genera of plethodontid salamanders (Amphibia: Plethodontidae)","title-short":"Histology of mental and caudal courtship glands in three genera of plethodontid salamanders (Amphibia","volume":"99","author":[{"family":"Rupp","given":"Ariana E."},{"family":"Sever","given":"David M."}],"issued":{"date-parts":[["2018"]]}}},{"id":205,"uris":["http://zotero.org/users/6401767/items/TR7Y6ESX"],"itemData":{"id":205,"type":"article-journal","abstract":"Caudal courtship glands (CCGs) are sexually dimorphic glands described in the skin of the dorsal tail base of some male salamanders in the genera Desmognathus, Eurycea, and Plethodon in the family Plethodontidae. These glands are believed to deliver pheromones to females during courtship, when the female rests her chin on the dorsal tail base during the stereotypic tail straddling walk unique to plethodontids. Although CCGs have been studied histologically, no investigations of their ultrastructure have been made. This article presents the first study on the fine structure and seasonal variation of CCGs, using the plethodontid Plethodon cinereus. The CCGs vary seasonally in height and secretory activity. The mature secretory granules observed in males collected in October and April consist of oval, biphasic granules that are eosinophilic and give positive reactions to periodic acid-Schiff for neutral carbohydrates but do not stain for acidic mucosusbtances or proteins with alcian blue and bromphenol blue, respectively. Granular glands, some of which contain mucous demilunes, are twice as large as CCGs, are syncytial (unlike CCGs), and stain for proteins. Mucous glands are similar in size to CCGs, but are basophilic, show no seasonal variation in secretory activity, and stain positive for acidic mucosubstances. CCGs do not resemble cytologically the sexually dimorphic mental glands of some plethodontids, which contain round or oval granules filled with an electron-dense amorphous substance. The CCGs are similar histologically to sexually dimorphic skin glands described in some anurans, but more comparative work is needed. J. Morphol. 276:319–330, 2015. © 2014 Wiley Periodicals, Inc.","container-title":"Journal of Morphology","DOI":"10.1002/jmor.20342","ISSN":"1097-4687","issue":"3","language":"en","license":"© 2014 Wiley Periodicals, Inc.","note":"_eprint: https://onlinelibrary.wiley.com/doi/pdf/10.1002/jmor.20342","page":"319-330","source":"Wiley Online Library","title":"Histology and ultrastructure of the caudal courtship glands of the red-backed salamander, Plethodon cinereus (Amphibia: Plethodontidae)","title-short":"Histology and ultrastructure of the caudal courtship glands of the red-backed salamander, Plethodon cinereus (Amphibia","volume":"276","author":[{"family":"Sever","given":"David M."},{"family":"Siegel","given":"Dustin S."}],"issued":{"date-parts":[["2015"]]}}}],"schema":"https://github.com/citation-style-language/schema/raw/master/csl-citation.json"}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(Rupp &amp; Sever, 2018; Sever &amp; Siegel, 2015)</w:t>
      </w:r>
      <w:r w:rsidRPr="00553649">
        <w:rPr>
          <w:rFonts w:ascii="Times New Roman" w:hAnsi="Times New Roman" w:cs="Times New Roman"/>
        </w:rPr>
        <w:fldChar w:fldCharType="end"/>
      </w:r>
      <w:r w:rsidRPr="00553649">
        <w:rPr>
          <w:rFonts w:ascii="Times New Roman" w:hAnsi="Times New Roman" w:cs="Times New Roman"/>
        </w:rPr>
        <w:t>.</w:t>
      </w:r>
      <w:r w:rsidR="00C928A4" w:rsidRPr="00553649">
        <w:rPr>
          <w:rFonts w:ascii="Times New Roman" w:hAnsi="Times New Roman" w:cs="Times New Roman"/>
        </w:rPr>
        <w:t xml:space="preserve"> Taken together, the intricate processes of mucosal, granular, and courtship glands within amphibian skin not only aid </w:t>
      </w:r>
      <w:r w:rsidR="00B243E0">
        <w:rPr>
          <w:rFonts w:ascii="Times New Roman" w:hAnsi="Times New Roman" w:cs="Times New Roman"/>
        </w:rPr>
        <w:t>in</w:t>
      </w:r>
      <w:r w:rsidR="00C928A4" w:rsidRPr="00553649">
        <w:rPr>
          <w:rFonts w:ascii="Times New Roman" w:hAnsi="Times New Roman" w:cs="Times New Roman"/>
        </w:rPr>
        <w:t xml:space="preserve"> physiological, immunological, and behavioral processes, but also present dynamic </w:t>
      </w:r>
      <w:r w:rsidR="00B243E0">
        <w:rPr>
          <w:rFonts w:ascii="Times New Roman" w:hAnsi="Times New Roman" w:cs="Times New Roman"/>
        </w:rPr>
        <w:t>chemical and nutritional</w:t>
      </w:r>
      <w:r w:rsidR="00C928A4" w:rsidRPr="00553649">
        <w:rPr>
          <w:rFonts w:ascii="Times New Roman" w:hAnsi="Times New Roman" w:cs="Times New Roman"/>
        </w:rPr>
        <w:t xml:space="preserve"> environments for symbiotic interactions between amphibian hosts and microbes residing on their skin.</w:t>
      </w:r>
      <w:r w:rsidRPr="00553649">
        <w:rPr>
          <w:rFonts w:ascii="Times New Roman" w:hAnsi="Times New Roman" w:cs="Times New Roman"/>
        </w:rPr>
        <w:t xml:space="preserve"> </w:t>
      </w:r>
    </w:p>
    <w:p w14:paraId="69257AB5" w14:textId="0218FB3A" w:rsidR="007C7BE3" w:rsidRPr="00553649" w:rsidRDefault="007C7BE3" w:rsidP="007C7BE3">
      <w:pPr>
        <w:pStyle w:val="Heading2"/>
        <w:rPr>
          <w:rFonts w:ascii="Times New Roman" w:hAnsi="Times New Roman" w:cs="Times New Roman"/>
          <w:b w:val="0"/>
          <w:bCs w:val="0"/>
        </w:rPr>
      </w:pPr>
      <w:bookmarkStart w:id="4" w:name="_Toc165028043"/>
      <w:r w:rsidRPr="00553649">
        <w:rPr>
          <w:rFonts w:ascii="Times New Roman" w:hAnsi="Times New Roman" w:cs="Times New Roman"/>
        </w:rPr>
        <w:lastRenderedPageBreak/>
        <w:t xml:space="preserve">Plethodontid </w:t>
      </w:r>
      <w:r w:rsidR="00FF7E60">
        <w:rPr>
          <w:rFonts w:ascii="Times New Roman" w:hAnsi="Times New Roman" w:cs="Times New Roman"/>
        </w:rPr>
        <w:t>s</w:t>
      </w:r>
      <w:r w:rsidRPr="00553649">
        <w:rPr>
          <w:rFonts w:ascii="Times New Roman" w:hAnsi="Times New Roman" w:cs="Times New Roman"/>
        </w:rPr>
        <w:t xml:space="preserve">alamanders as a </w:t>
      </w:r>
      <w:r w:rsidR="008A6662">
        <w:rPr>
          <w:rFonts w:ascii="Times New Roman" w:hAnsi="Times New Roman" w:cs="Times New Roman"/>
        </w:rPr>
        <w:t>s</w:t>
      </w:r>
      <w:r w:rsidRPr="00553649">
        <w:rPr>
          <w:rFonts w:ascii="Times New Roman" w:hAnsi="Times New Roman" w:cs="Times New Roman"/>
        </w:rPr>
        <w:t>ystem for int</w:t>
      </w:r>
      <w:r w:rsidR="004A6791">
        <w:rPr>
          <w:rFonts w:ascii="Times New Roman" w:hAnsi="Times New Roman" w:cs="Times New Roman"/>
        </w:rPr>
        <w:t>ra</w:t>
      </w:r>
      <w:r w:rsidRPr="00553649">
        <w:rPr>
          <w:rFonts w:ascii="Times New Roman" w:hAnsi="Times New Roman" w:cs="Times New Roman"/>
        </w:rPr>
        <w:t xml:space="preserve"> and int</w:t>
      </w:r>
      <w:r w:rsidR="004A6791">
        <w:rPr>
          <w:rFonts w:ascii="Times New Roman" w:hAnsi="Times New Roman" w:cs="Times New Roman"/>
        </w:rPr>
        <w:t>er</w:t>
      </w:r>
      <w:r w:rsidRPr="00553649">
        <w:rPr>
          <w:rFonts w:ascii="Times New Roman" w:hAnsi="Times New Roman" w:cs="Times New Roman"/>
        </w:rPr>
        <w:t>-specific differences in the skin microbiome</w:t>
      </w:r>
      <w:bookmarkEnd w:id="4"/>
    </w:p>
    <w:p w14:paraId="6650E1B3" w14:textId="0E9C66B2" w:rsidR="00EB4FBE" w:rsidRDefault="007C7BE3" w:rsidP="00C275ED">
      <w:pPr>
        <w:spacing w:line="360" w:lineRule="auto"/>
        <w:ind w:firstLine="720"/>
        <w:rPr>
          <w:rFonts w:ascii="Times New Roman" w:hAnsi="Times New Roman" w:cs="Times New Roman"/>
        </w:rPr>
      </w:pPr>
      <w:r w:rsidRPr="00553649">
        <w:rPr>
          <w:rFonts w:ascii="Times New Roman" w:hAnsi="Times New Roman" w:cs="Times New Roman"/>
        </w:rPr>
        <w:t xml:space="preserve">Southern Appalachia </w:t>
      </w:r>
      <w:r w:rsidR="00EB4FBE">
        <w:rPr>
          <w:rFonts w:ascii="Times New Roman" w:hAnsi="Times New Roman" w:cs="Times New Roman"/>
        </w:rPr>
        <w:t>harbors</w:t>
      </w:r>
      <w:r w:rsidRPr="00553649">
        <w:rPr>
          <w:rFonts w:ascii="Times New Roman" w:hAnsi="Times New Roman" w:cs="Times New Roman"/>
        </w:rPr>
        <w:t xml:space="preserve"> at least 41 species of lungless salamanders belonging to the family </w:t>
      </w:r>
      <w:proofErr w:type="spellStart"/>
      <w:r w:rsidRPr="00553649">
        <w:rPr>
          <w:rFonts w:ascii="Times New Roman" w:hAnsi="Times New Roman" w:cs="Times New Roman"/>
        </w:rPr>
        <w:t>Plethodontidae</w:t>
      </w:r>
      <w:proofErr w:type="spellEnd"/>
      <w:r w:rsidRPr="00553649">
        <w:rPr>
          <w:rFonts w:ascii="Times New Roman" w:hAnsi="Times New Roman" w:cs="Times New Roman"/>
        </w:rPr>
        <w:t xml:space="preserve">, with recent evidence suggesting the potential number to be even higher due to </w:t>
      </w:r>
      <w:r w:rsidR="00B243E0">
        <w:rPr>
          <w:rFonts w:ascii="Times New Roman" w:hAnsi="Times New Roman" w:cs="Times New Roman"/>
        </w:rPr>
        <w:t>cryptic species</w:t>
      </w:r>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{"citationID":"WSxUDDA0","properties":{"formattedCitation":"(Pyron et al., 2022, 2023)","plainCitation":"(Pyron et al., 2022, 2023)","noteIndex":0},"citationItems":[{"id":41,"uris":["http://zotero.org/users/6401767/items/QHXWBM54"],"itemData":{"id":41,"type":"article-journal","abstract":"Dusky Salamanders (genus Desmognathus) currently comprise only 22 described, extant species. However, recent mitochondrial and nuclear estimates indicate the presence of up to 49 candidate species based on ecogeographic sampling. Previous studies also suggest a complex history of hybridization between these lineages. Studies in other groups suggest that disregarding admixture may affect both phylogenetic inference and clustering-based species delimitation. With a dataset comprising 233 Anchored Hybrid Enrichment (AHE) loci sequenced for 896 Desmognathus specimens from all 49 candidate species, we test three hypotheses regarding (i) species-level diversity, (ii) hybridization and admixture, and (iii) misleading phylogenetic inference. Using phylogenetic and population-clustering analyses considering gene flow, we find support for at least 47 candidate species in the phylogenomic dataset, some of which are newly characterized here while others represent combinations of previously named lineages that are collapsed in the current dataset. Within these, we observe significant phylogeographic structure, with up to 64 total geographic genetic lineages, many of which hybridize either narrowly at contact zones or extensively across ecological gradients. We find strong support for both recent admixture between terminal lineages and ancient hybridization across internal branches. This signal appears to distort concatenated phylogenetic inference, wherein more heavily admixed terminal specimens occupy apparently artifactual early-diverging topological positions, occasionally to the extent of forming false clades of intermediate hybrids. Additional geographic and genetic sampling and more robust computational approaches will be needed to clarify taxonomy, and to reconstruct a network topology to display evolutionary relationships in a manner that is consistent with their complex history of reticulation.","container-title":"Ecology and Evolution","DOI":"10.1002/ece3.8574","ISSN":"2045-7758","issue":"2","language":"en","note":"_eprint: https://onlinelibrary.wiley.com/doi/pdf/10.1002/ece3.8574","page":"e8574","source":"Wiley Online Library","title":"Candidate-species delimitation in Desmognathus salamanders reveals gene flow across lineage boundaries, confounding phylogenetic estimation and clarifying hybrid zones","volume":"12","author":[{"family":"Pyron","given":"Robert Alexander"},{"family":"O’Connell","given":"Kyle A."},{"family":"Lemmon","given":"Emily Moriarty"},{"family":"Lemmon","given":"Alan R."},{"family":"Beamer","given":"David A."}],"issued":{"date-parts":[["2022"]]}}},{"id":40,"uris":["http://zotero.org/users/6401767/items/HUR97DTN"],"itemData":{"id":40,"type":"article-journal","abstract":"Significant advances have been made in species delimitation and numerous methods can test precisely defined models of speciation, though the synthesis of phylogeography and taxonomy is still sometimes incomplete. Emerging consensus treats distinct genealogical clusters in genome-scale data as strong initial evidence of speciation in most cases, a hypothesis that must therefore be falsified under an explicit evolutionary model. We can now test speciation hypotheses linking trait differentiation to specific mechanisms of divergence with increasingly large data sets. Integrative taxonomy can, therefore, reflect an understanding of how each axis of variation relates to underlying speciation processes, with nomenclature for distinct evolutionary lineages. We illustrate this approach here with Seal Salamanders (Desmognathus monticola) and introduce a new unsupervised machine-learning approach for species delimitation. Plethodontid salamanders are renowned for their morphological conservatism despite extensive phylogeographic divergence. We discover 2 geographic genetic clusters, for which demographic and spatial models of ecology and gene flow provide robust support for ecogeographic speciation despite limited phenotypic divergence. These data are integrated under evolutionary mechanisms (e.g., spatially localized gene flow with reduced migration) and reflected in emergent properties expected under models of reinforcement (e.g., ethological isolation and selection against hybrids). Their genetic divergence is prima facie evidence for species-level distinctiveness, supported by speciation models and divergence along axes such as behavior, geography, and climate that suggest an ecological basis with subsequent reinforcement through prezygotic isolation. As data sets grow more comprehensive, species-delimitation models can be tested, rejected, or corroborated as explicit speciation hypotheses, providing for reciprocal illumination of evolutionary processes and integrative taxonomies. [Desmognathus; integrative taxonomy; machine learning; species delimitation.]","container-title":"Systematic Biology","DOI":"10.1093/sysbio/syac065","ISSN":"1063-5157","issue":"1","journalAbbreviation":"Systematic Biology","page":"179-197","source":"Silverchair","title":"Speciation Hypotheses from Phylogeographic Delimitation Yield an Integrative Taxonomy for Seal Salamanders (Desmognathus monticola)","volume":"72","author":[{"family":"Pyron","given":"R Alexander"},{"family":"O’Connell","given":"Kyle A"},{"family":"Duncan","given":"Sophie C"},{"family":"Burbrink","given":"Frank T"},{"family":"Beamer","given":"David A"}],"issued":{"date-parts":[["2023",1,1]]}}}],"schema":"https://github.com/citation-style-language/schema/raw/master/csl-citation.json"}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(Pyron et al., 2022, 2023)</w:t>
      </w:r>
      <w:r w:rsidRPr="00553649">
        <w:rPr>
          <w:rFonts w:ascii="Times New Roman" w:hAnsi="Times New Roman" w:cs="Times New Roman"/>
        </w:rPr>
        <w:fldChar w:fldCharType="end"/>
      </w:r>
      <w:r w:rsidRPr="00553649">
        <w:rPr>
          <w:rFonts w:ascii="Times New Roman" w:hAnsi="Times New Roman" w:cs="Times New Roman"/>
        </w:rPr>
        <w:t xml:space="preserve">. </w:t>
      </w:r>
      <w:r w:rsidR="00EB4FBE">
        <w:rPr>
          <w:rFonts w:ascii="Times New Roman" w:hAnsi="Times New Roman" w:cs="Times New Roman"/>
        </w:rPr>
        <w:t xml:space="preserve">Eastward </w:t>
      </w:r>
      <w:r w:rsidR="00C275ED">
        <w:rPr>
          <w:rFonts w:ascii="Times New Roman" w:hAnsi="Times New Roman" w:cs="Times New Roman"/>
        </w:rPr>
        <w:t xml:space="preserve">migration </w:t>
      </w:r>
      <w:r w:rsidR="006817ED">
        <w:rPr>
          <w:rFonts w:ascii="Times New Roman" w:hAnsi="Times New Roman" w:cs="Times New Roman"/>
        </w:rPr>
        <w:t>into Southern Appalachia during the Paleo</w:t>
      </w:r>
      <w:r w:rsidR="00C275ED">
        <w:rPr>
          <w:rFonts w:ascii="Times New Roman" w:hAnsi="Times New Roman" w:cs="Times New Roman"/>
        </w:rPr>
        <w:t>cene</w:t>
      </w:r>
      <w:r w:rsidR="006817ED">
        <w:rPr>
          <w:rFonts w:ascii="Times New Roman" w:hAnsi="Times New Roman" w:cs="Times New Roman"/>
        </w:rPr>
        <w:t xml:space="preserve"> and Eocene was followed by r</w:t>
      </w:r>
      <w:r w:rsidR="00EB4FBE" w:rsidRPr="00553649">
        <w:rPr>
          <w:rFonts w:ascii="Times New Roman" w:hAnsi="Times New Roman" w:cs="Times New Roman"/>
        </w:rPr>
        <w:t xml:space="preserve">apid </w:t>
      </w:r>
      <w:r w:rsidR="00C275ED">
        <w:rPr>
          <w:rFonts w:ascii="Times New Roman" w:hAnsi="Times New Roman" w:cs="Times New Roman"/>
        </w:rPr>
        <w:t xml:space="preserve">Miocene </w:t>
      </w:r>
      <w:r w:rsidR="00EB4FBE" w:rsidRPr="00553649">
        <w:rPr>
          <w:rFonts w:ascii="Times New Roman" w:hAnsi="Times New Roman" w:cs="Times New Roman"/>
        </w:rPr>
        <w:t xml:space="preserve">species accumulation within genera </w:t>
      </w:r>
      <w:r w:rsidR="00C275ED">
        <w:rPr>
          <w:rFonts w:ascii="Times New Roman" w:hAnsi="Times New Roman" w:cs="Times New Roman"/>
        </w:rPr>
        <w:t>leading to</w:t>
      </w:r>
      <w:r w:rsidR="00EB4FBE" w:rsidRPr="00553649">
        <w:rPr>
          <w:rFonts w:ascii="Times New Roman" w:hAnsi="Times New Roman" w:cs="Times New Roman"/>
        </w:rPr>
        <w:t xml:space="preserve"> high </w:t>
      </w:r>
      <w:r w:rsidR="00C275ED">
        <w:rPr>
          <w:rFonts w:ascii="Times New Roman" w:hAnsi="Times New Roman" w:cs="Times New Roman"/>
        </w:rPr>
        <w:t xml:space="preserve">diversity </w:t>
      </w:r>
      <w:r w:rsidR="00EB4FBE" w:rsidRPr="00553649">
        <w:rPr>
          <w:rFonts w:ascii="Times New Roman" w:hAnsi="Times New Roman" w:cs="Times New Roman"/>
        </w:rPr>
        <w:t xml:space="preserve">maintained by niche conservatism in a favorable climate </w:t>
      </w:r>
      <w:r w:rsidR="00EB4FBE"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{"citationID":"K1VYpJOe","properties":{"formattedCitation":"(Kozak, 2017; Kozak &amp; Wiens, 2010)","plainCitation":"(Kozak, 2017; Kozak &amp; Wiens, 2010)","noteIndex":0},"citationItems":[{"id":449,"uris":["http://zotero.org/users/6401767/items/HF6PTAHP"],"itemData":{"id":449,"type":"article-journal","abstract":"Plethodontid salamanders have become model organisms for studying many fundamental questions in evolutionary biology, ecology, and behavior. Dozens of studies focused on geographic patterns of phenotypic and genetic variation have been conducted on plethodontids, such that we now have a deep understanding of how many species are in the family and where they occur. This body of work on patterns of speciation has been foundational to exploring the drivers of the major patterns of species richness in the family. Approximately 70% of the world's 696 extant species of salamanders are plethodontids. The distribution of plethodontid species diversity exhibits striking variation globally. Most plethodontids are concentrated into two hotspots of diversity, the Appalachian Highlands and the Mesoamerican Highlands. Moreover, within these montane centers of diversity more species are found in midelevation habitats than at the highest or lowest elevations. The clade has been highly successful in the New World tropics, which harbors more plethodontid species than the temperate zone. Here, I review new insights on the evolutionary and ecological causes of variation in plethodontid species richness over geographic space and evolutionary time. New hypotheses on the phylogenetic relationships of plethodonids and tools from comparative phylogenetics and biodiversity informatics have been critical to this recent progress. Threats to plethodontid diversity arising from global climate change are examined, as is the need to further study and to cross-validate forecasts of species' range dynamics with different modeling approaches and independent data.","container-title":"Herpetologica","ISSN":"0018-0831","issue":"3","note":"publisher: [Herpetologists' League, Allen Press]","page":"220-228","source":"JSTOR","title":"What Drives Variation in Plethodontid Salamander Species Richness over Space and Time?","volume":"73","author":[{"family":"Kozak","given":"Kenneth H."}],"issued":{"date-parts":[["2017"]]}}},{"id":450,"uris":["http://zotero.org/users/6401767/items/LJLUZKPU"],"itemData":{"id":450,"type":"article-journal","abstract":"Many biodiversity hotspots are in montane regions, and many plant and animal groups have their highest species richness at intermediate elevations. Yet, the explanation for this hump-shaped diversity pattern has remained unclear because no studies have addressed both the ecological and evolutionary causes. Here, we address these causes in North American plethodontid salamanders, using a near-comprehensive phylogeny and environmental data. We develop a null model for assessing the relationship between the time that an area has been occupied and its species richness, and we apply a new approach that tests whether clades exhibit long-term stasis in their climatic niches (niche conservatism). Evolutionarily, the midelevation peak in species richness is explained by the time-for-speciation effect, with intermediate-elevation habitats seemingly being inhabited longest and accumulating more species. We ﬁnd that this pattern is associated with evolutionary stasis in species’ climatic niches, driving the midelevation peak by constraining the dispersal of lineages to environments at lower and higher elevations. These processes may help explain elevational diversity patterns in many montane regions around the world. The results also suggest that montane biotas may harbor high levels of both species diversity and phylogenetic diversity but may be particularly susceptible to rapid climate change.","container-title":"The American Naturalist","DOI":"10.1086/653031","ISSN":"0003-0147, 1537-5323","issue":"1","journalAbbreviation":"The American Naturalist","language":"en","page":"40-54","source":"DOI.org (Crossref)","title":"Niche Conservatism Drives Elevational Diversity Patterns in Appalachian Salamanders","volume":"176","author":[{"family":"Kozak","given":"Kenneth H."},{"family":"Wiens","given":"John J."}],"issued":{"date-parts":[["2010",7]]}}}],"schema":"https://github.com/citation-style-language/schema/raw/master/csl-citation.json"} </w:instrText>
      </w:r>
      <w:r w:rsidR="00EB4FBE" w:rsidRPr="00553649">
        <w:rPr>
          <w:rFonts w:ascii="Times New Roman" w:hAnsi="Times New Roman" w:cs="Times New Roman"/>
        </w:rPr>
        <w:fldChar w:fldCharType="separate"/>
      </w:r>
      <w:r w:rsidR="004D2321">
        <w:rPr>
          <w:rFonts w:ascii="Times New Roman" w:hAnsi="Times New Roman" w:cs="Times New Roman"/>
          <w:noProof/>
        </w:rPr>
        <w:t>(Kozak, 2017; Kozak &amp; Wiens, 2010)</w:t>
      </w:r>
      <w:r w:rsidR="00EB4FBE" w:rsidRPr="00553649">
        <w:rPr>
          <w:rFonts w:ascii="Times New Roman" w:hAnsi="Times New Roman" w:cs="Times New Roman"/>
        </w:rPr>
        <w:fldChar w:fldCharType="end"/>
      </w:r>
      <w:r w:rsidR="00EB4FBE" w:rsidRPr="00553649">
        <w:rPr>
          <w:rFonts w:ascii="Times New Roman" w:hAnsi="Times New Roman" w:cs="Times New Roman"/>
        </w:rPr>
        <w:t>.</w:t>
      </w:r>
      <w:r w:rsidR="00C275ED">
        <w:rPr>
          <w:rFonts w:ascii="Times New Roman" w:hAnsi="Times New Roman" w:cs="Times New Roman"/>
        </w:rPr>
        <w:t xml:space="preserve"> </w:t>
      </w:r>
      <w:r w:rsidR="00BB13AB" w:rsidRPr="00553649">
        <w:rPr>
          <w:rFonts w:ascii="Times New Roman" w:hAnsi="Times New Roman" w:cs="Times New Roman"/>
        </w:rPr>
        <w:t xml:space="preserve">Plethodontid salamanders are unique among amphibians in that all 350+ species lack lungs despite occupying a diversity of habitats and exhibiting a variety of life history strategies. Lung loss is not exclusive to Plethodontid salamanders, evolving three other times in </w:t>
      </w:r>
      <w:proofErr w:type="spellStart"/>
      <w:r w:rsidR="00BB13AB" w:rsidRPr="00553649">
        <w:rPr>
          <w:rFonts w:ascii="Times New Roman" w:hAnsi="Times New Roman" w:cs="Times New Roman"/>
        </w:rPr>
        <w:t>tetrapods</w:t>
      </w:r>
      <w:proofErr w:type="spellEnd"/>
      <w:r w:rsidR="00BB13AB" w:rsidRPr="00553649">
        <w:rPr>
          <w:rFonts w:ascii="Times New Roman" w:hAnsi="Times New Roman" w:cs="Times New Roman"/>
        </w:rPr>
        <w:t>, once in another salamander genus (</w:t>
      </w:r>
      <w:proofErr w:type="spellStart"/>
      <w:r w:rsidR="00BB13AB" w:rsidRPr="00553649">
        <w:rPr>
          <w:rFonts w:ascii="Times New Roman" w:hAnsi="Times New Roman" w:cs="Times New Roman"/>
          <w:i/>
          <w:iCs/>
        </w:rPr>
        <w:t>Onychodactylus</w:t>
      </w:r>
      <w:proofErr w:type="spellEnd"/>
      <w:r w:rsidR="00BB13AB" w:rsidRPr="00553649">
        <w:rPr>
          <w:rFonts w:ascii="Times New Roman" w:hAnsi="Times New Roman" w:cs="Times New Roman"/>
        </w:rPr>
        <w:t>), once in Gymnophiona (</w:t>
      </w:r>
      <w:proofErr w:type="spellStart"/>
      <w:r w:rsidR="00BB13AB" w:rsidRPr="00553649">
        <w:rPr>
          <w:rFonts w:ascii="Times New Roman" w:hAnsi="Times New Roman" w:cs="Times New Roman"/>
          <w:i/>
          <w:iCs/>
        </w:rPr>
        <w:t>Typhlonectes</w:t>
      </w:r>
      <w:proofErr w:type="spellEnd"/>
      <w:r w:rsidR="00BB13AB" w:rsidRPr="00553649">
        <w:rPr>
          <w:rFonts w:ascii="Times New Roman" w:hAnsi="Times New Roman" w:cs="Times New Roman"/>
          <w:i/>
          <w:iCs/>
        </w:rPr>
        <w:t xml:space="preserve"> </w:t>
      </w:r>
      <w:proofErr w:type="spellStart"/>
      <w:r w:rsidR="00BB13AB" w:rsidRPr="00553649">
        <w:rPr>
          <w:rFonts w:ascii="Times New Roman" w:hAnsi="Times New Roman" w:cs="Times New Roman"/>
          <w:i/>
          <w:iCs/>
        </w:rPr>
        <w:t>eiselti</w:t>
      </w:r>
      <w:proofErr w:type="spellEnd"/>
      <w:r w:rsidR="00BB13AB" w:rsidRPr="00553649">
        <w:rPr>
          <w:rFonts w:ascii="Times New Roman" w:hAnsi="Times New Roman" w:cs="Times New Roman"/>
        </w:rPr>
        <w:t>), and once in anurans (</w:t>
      </w:r>
      <w:proofErr w:type="spellStart"/>
      <w:r w:rsidR="00BB13AB" w:rsidRPr="00553649">
        <w:rPr>
          <w:rFonts w:ascii="Times New Roman" w:hAnsi="Times New Roman" w:cs="Times New Roman"/>
          <w:i/>
          <w:iCs/>
        </w:rPr>
        <w:t>Barbourula</w:t>
      </w:r>
      <w:proofErr w:type="spellEnd"/>
      <w:r w:rsidR="00BB13AB" w:rsidRPr="00553649">
        <w:rPr>
          <w:rFonts w:ascii="Times New Roman" w:hAnsi="Times New Roman" w:cs="Times New Roman"/>
          <w:i/>
          <w:iCs/>
        </w:rPr>
        <w:t xml:space="preserve"> </w:t>
      </w:r>
      <w:proofErr w:type="spellStart"/>
      <w:r w:rsidR="00BB13AB" w:rsidRPr="00553649">
        <w:rPr>
          <w:rFonts w:ascii="Times New Roman" w:hAnsi="Times New Roman" w:cs="Times New Roman"/>
          <w:i/>
          <w:iCs/>
        </w:rPr>
        <w:t>kalimantanensis</w:t>
      </w:r>
      <w:proofErr w:type="spellEnd"/>
      <w:r w:rsidR="00BB13AB" w:rsidRPr="00553649">
        <w:rPr>
          <w:rFonts w:ascii="Times New Roman" w:hAnsi="Times New Roman" w:cs="Times New Roman"/>
        </w:rPr>
        <w:t xml:space="preserve">) </w:t>
      </w:r>
      <w:r w:rsidR="00BB13AB"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{"citationID":"N6lEl2qW","properties":{"formattedCitation":"(Bickford et al., 2008; Lewis et al., 2018; Nussbaum &amp; Wilkinson, 1995)","plainCitation":"(Bickford et al., 2008; Lewis et al., 2018; Nussbaum &amp; Wilkinson, 1995)","noteIndex":0},"citationItems":[{"id":38,"uris":["http://zotero.org/users/6401767/items/NMTLFLVY"],"itemData":{"id":38,"type":"article-journal","container-title":"Current Biology","DOI":"10.1016/j.cub.2008.03.010","ISSN":"0960-9822","issue":"9","journalAbbreviation":"Current Biology","language":"English","note":"publisher: Elsevier\nPMID: 18424139","page":"R374-R375","source":"www.cell.com","title":"A lungless frog discovered on Borneo","volume":"18","author":[{"family":"Bickford","given":"David"},{"family":"Iskandar","given":"Djoko"},{"family":"Barlian","given":"Anggraini"}],"issued":{"date-parts":[["2008",5,6]]}}},{"id":203,"uris":["http://zotero.org/users/6401767/items/NKYAUFCA"],"itemData":{"id":203,"type":"article-journal","abstract":"Numerous physiological and morphological adaptations were achieved during the transition to lungless respiration that accompanied evolutionary lung loss in plethodontid salamanders, including those that enable efficient gas exchange across extrapulmonary tissue. However, the molecular basis of these adaptations is unknown. Here, we show that lungless salamanders express in the larval integument and the adult buccopharynx—principal sites of respiratory gas exchange in these species—a novel paralogue of the gene surfactant-associated protein C (SFTPC), which is a critical component of pulmonary surfactant expressed exclusively in the lung in other vertebrates. The paralogous gene appears to be found only in salamanders, but, similar to SFTPC, in lunged salamanders it is expressed only in the lung. This heterotopic gene expression, combined with predictions from structural modelling and respiratory tissue ultrastructure, suggests that lungless salamanders may produce pulmonary surfactant-like secretions outside the lungs and that the novel paralogue of SFTPC might facilitate extrapulmonary respiration in the absence of lungs. Heterotopic expression of the SFTPC paralogue may have contributed to the remarkable evolutionary radiation of lungless salamanders, which account for more than two thirds of urodele species alive today.","container-title":"Proceedings of the Royal Society B: Biological Sciences","DOI":"10.1098/rspb.2018.1589","ISSN":"0962-8452","issue":"1888","journalAbbreviation":"Proc Biol Sci","note":"PMID: 30282653\nPMCID: PMC6191699","source":"PubMed Central","title":"Expression of a novel surfactant protein gene is associated with sites of extrapulmonary respiration in a lungless salamander","URL":"https://www.ncbi.nlm.nih.gov/pmc/articles/PMC6191699/","volume":"285","author":[{"family":"Lewis","given":"Zachary R."},{"family":"Dorantes","given":"Jorge A."},{"family":"Hanken","given":"James"}],"accessed":{"date-parts":[["2020",8,10]]},"issued":{"date-parts":[["2018",10,10]]}}},{"id":39,"uris":["http://zotero.org/users/6401767/items/TNRCT4NC"],"itemData":{"id":39,"type":"article-journal","abstract":"Lunglessness is rare in the Tetrapoda and previously recorded only in salamanders (Amphibia: Caudata). Here we report lunglessness in another group of tetrapods, the poorly known tropical caecilians (Amphibia: Gymnophiona). Typhlonectes eiselti is a lungless, aquatic caecilian from South America known only from the single holotype specimen, NMW 9144 (Vienna Museum of Natural History). At a total length of 725 mm, NMW 9144 is by far the largest known lungless tetrapod. It also has a startling array of other radically divergent morphological features, many unique, and some correlated with lunglessness including: sealed choanae (paired internal nostrils); complete absence of pulmonary blood vessels; a repatterned skull with post-occipital jaw articulation; and a novel cranial muscle associated with an elongate and redirected stapes. This remarkable combination of highly derived characters sets Typhlonectes eiselti apart from all other caecilians and places it on a novel evolutionary trajectory. A new genus is described to accommodate this form.","container-title":"Proceedings: Biological Sciences","ISSN":"0962-8452","issue":"1362","note":"publisher: Royal Society","page":"331-335","source":"JSTOR","title":"A New Genus of Lungless Tetrapod: A Radically Divergent Caecilian (Amphibia: Gymnophiona)","title-short":"A New Genus of Lungless Tetrapod","volume":"261","author":[{"family":"Nussbaum","given":"Ronald A."},{"family":"Wilkinson","given":"Mark"}],"issued":{"date-parts":[["1995"]]}}}],"schema":"https://github.com/citation-style-language/schema/raw/master/csl-citation.json"} </w:instrText>
      </w:r>
      <w:r w:rsidR="00BB13AB" w:rsidRPr="00553649">
        <w:rPr>
          <w:rFonts w:ascii="Times New Roman" w:hAnsi="Times New Roman" w:cs="Times New Roman"/>
        </w:rPr>
        <w:fldChar w:fldCharType="separate"/>
      </w:r>
      <w:r w:rsidR="004D2321">
        <w:rPr>
          <w:rFonts w:ascii="Times New Roman" w:hAnsi="Times New Roman" w:cs="Times New Roman"/>
          <w:noProof/>
        </w:rPr>
        <w:t>(Bickford et al., 2008; Lewis et al., 2018; Nussbaum &amp; Wilkinson, 1995)</w:t>
      </w:r>
      <w:r w:rsidR="00BB13AB" w:rsidRPr="00553649">
        <w:rPr>
          <w:rFonts w:ascii="Times New Roman" w:hAnsi="Times New Roman" w:cs="Times New Roman"/>
        </w:rPr>
        <w:fldChar w:fldCharType="end"/>
      </w:r>
      <w:r w:rsidR="00BB13AB" w:rsidRPr="00553649">
        <w:rPr>
          <w:rFonts w:ascii="Times New Roman" w:hAnsi="Times New Roman" w:cs="Times New Roman"/>
        </w:rPr>
        <w:t xml:space="preserve">. The proposed adaptive significance </w:t>
      </w:r>
      <w:r w:rsidR="00EB4FBE">
        <w:rPr>
          <w:rFonts w:ascii="Times New Roman" w:hAnsi="Times New Roman" w:cs="Times New Roman"/>
        </w:rPr>
        <w:t xml:space="preserve">is </w:t>
      </w:r>
      <w:r w:rsidR="00BB13AB" w:rsidRPr="00553649">
        <w:rPr>
          <w:rFonts w:ascii="Times New Roman" w:hAnsi="Times New Roman" w:cs="Times New Roman"/>
        </w:rPr>
        <w:t xml:space="preserve">attributed to buoyancy reduction for larval salamanders occupying, high-gradient streams early in plethodontid evolution </w:t>
      </w:r>
      <w:r w:rsidR="00C275ED">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{"citationID":"a60dkc13q1","properties":{"formattedCitation":"(Beachy &amp; Bruce, 1992)","plainCitation":"(Beachy &amp; Bruce, 1992)","noteIndex":0},"citationItems":[{"id":36,"uris":["http://zotero.org/users/6401767/items/F6J2Q75M"],"itemData":{"id":36,"type":"article-journal","abstract":"The salamander family Plethodontidae is characterized by the absence of lungs. In 1920, I. W. Wilder and E. R. Dunn proposed that lunglessness evolved as an adaptation for life in flowing streams. However, J. A. Ruben and A. J. Boucot recently suggested that protoplethodontids had no access to the mountainous terrain associated with fast-flowing stream habitats. They further suggested that plethodontids lost lungs for reasons other than ballast. We cite evidence contradicting Ruben and Boucot's geological interpretation. We contend that the Wilder-Dunn hypothesis remains a robust one and argue that the life-history pattern exhibited by the primitive members of the family (e.g., Gyrinophilus, Pseudotriton) suggests that lunglessness evolved as a rheotropic adaptation that promoted primarily larval, not adult, survival in streams. We review evidence on the life history, ecology, morphology, and physiology of larval salamanders that supports the Wilder-Dunn hypothesis.","container-title":"The American Naturalist","ISSN":"0003-0147","issue":"4","note":"publisher: [University of Chicago Press, American Society of Naturalists]","page":"839-847","source":"JSTOR","title":"Lunglessness in Plethodontid Salamanders is Consistent with the Hypothesis of a Mountain Stream Origin: A Response to Ruben and Boucot","title-short":"Lunglessness in Plethodontid Salamanders is Consistent with the Hypothesis of a Mountain Stream Origin","volume":"139","author":[{"family":"Beachy","given":"Christopher King"},{"family":"Bruce","given":"Richard C."}],"issued":{"date-parts":[["1992"]]}}}],"schema":"https://github.com/citation-style-language/schema/raw/master/csl-citation.json"} </w:instrText>
      </w:r>
      <w:r w:rsidR="00C275ED">
        <w:rPr>
          <w:rFonts w:ascii="Times New Roman" w:hAnsi="Times New Roman" w:cs="Times New Roman"/>
        </w:rPr>
        <w:fldChar w:fldCharType="separate"/>
      </w:r>
      <w:r w:rsidR="004D2321">
        <w:rPr>
          <w:rFonts w:ascii="Times New Roman" w:hAnsi="Times New Roman" w:cs="Times New Roman"/>
        </w:rPr>
        <w:t>(Beachy &amp; Bruce, 1992)</w:t>
      </w:r>
      <w:r w:rsidR="00C275ED">
        <w:rPr>
          <w:rFonts w:ascii="Times New Roman" w:hAnsi="Times New Roman" w:cs="Times New Roman"/>
        </w:rPr>
        <w:fldChar w:fldCharType="end"/>
      </w:r>
      <w:r w:rsidR="00BB13AB" w:rsidRPr="00553649">
        <w:rPr>
          <w:rFonts w:ascii="Times New Roman" w:hAnsi="Times New Roman" w:cs="Times New Roman"/>
        </w:rPr>
        <w:t>. In the absence of lungs, extrapulmonary</w:t>
      </w:r>
      <w:r w:rsidR="00C275ED">
        <w:rPr>
          <w:rFonts w:ascii="Times New Roman" w:hAnsi="Times New Roman" w:cs="Times New Roman"/>
        </w:rPr>
        <w:t xml:space="preserve"> </w:t>
      </w:r>
      <w:r w:rsidR="00BB13AB" w:rsidRPr="00553649">
        <w:rPr>
          <w:rFonts w:ascii="Times New Roman" w:hAnsi="Times New Roman" w:cs="Times New Roman"/>
        </w:rPr>
        <w:t xml:space="preserve">respiration is thought to be facilitated by a paralogue </w:t>
      </w:r>
      <w:r w:rsidR="00B243E0">
        <w:rPr>
          <w:rFonts w:ascii="Times New Roman" w:hAnsi="Times New Roman" w:cs="Times New Roman"/>
        </w:rPr>
        <w:t xml:space="preserve">of a protein </w:t>
      </w:r>
      <w:r w:rsidR="00BB13AB" w:rsidRPr="00553649">
        <w:rPr>
          <w:rFonts w:ascii="Times New Roman" w:hAnsi="Times New Roman" w:cs="Times New Roman"/>
        </w:rPr>
        <w:t xml:space="preserve">associated with pulmonary gas exchange in </w:t>
      </w:r>
      <w:proofErr w:type="spellStart"/>
      <w:r w:rsidR="00BB13AB" w:rsidRPr="00553649">
        <w:rPr>
          <w:rFonts w:ascii="Times New Roman" w:hAnsi="Times New Roman" w:cs="Times New Roman"/>
        </w:rPr>
        <w:t>tetrapods</w:t>
      </w:r>
      <w:proofErr w:type="spellEnd"/>
      <w:r w:rsidR="00BB13AB" w:rsidRPr="00553649">
        <w:rPr>
          <w:rFonts w:ascii="Times New Roman" w:hAnsi="Times New Roman" w:cs="Times New Roman"/>
        </w:rPr>
        <w:t xml:space="preserve"> </w:t>
      </w:r>
      <w:r w:rsidR="00EB4FBE">
        <w:rPr>
          <w:rFonts w:ascii="Times New Roman" w:hAnsi="Times New Roman" w:cs="Times New Roman"/>
        </w:rPr>
        <w:t xml:space="preserve">that </w:t>
      </w:r>
      <w:r w:rsidR="00B243E0">
        <w:rPr>
          <w:rFonts w:ascii="Times New Roman" w:hAnsi="Times New Roman" w:cs="Times New Roman"/>
        </w:rPr>
        <w:t>decreases</w:t>
      </w:r>
      <w:r w:rsidR="00EB4FBE">
        <w:rPr>
          <w:rFonts w:ascii="Times New Roman" w:hAnsi="Times New Roman" w:cs="Times New Roman"/>
        </w:rPr>
        <w:t xml:space="preserve"> mucus thickness </w:t>
      </w:r>
      <w:r w:rsidR="00BB13AB"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{"citationID":"crfmkJ2x","properties":{"formattedCitation":"(Lewis et al., 2018)","plainCitation":"(Lewis et al., 2018)","noteIndex":0},"citationItems":[{"id":203,"uris":["http://zotero.org/users/6401767/items/NKYAUFCA"],"itemData":{"id":203,"type":"article-journal","abstract":"Numerous physiological and morphological adaptations were achieved during the transition to lungless respiration that accompanied evolutionary lung loss in plethodontid salamanders, including those that enable efficient gas exchange across extrapulmonary tissue. However, the molecular basis of these adaptations is unknown. Here, we show that lungless salamanders express in the larval integument and the adult buccopharynx—principal sites of respiratory gas exchange in these species—a novel paralogue of the gene surfactant-associated protein C (SFTPC), which is a critical component of pulmonary surfactant expressed exclusively in the lung in other vertebrates. The paralogous gene appears to be found only in salamanders, but, similar to SFTPC, in lunged salamanders it is expressed only in the lung. This heterotopic gene expression, combined with predictions from structural modelling and respiratory tissue ultrastructure, suggests that lungless salamanders may produce pulmonary surfactant-like secretions outside the lungs and that the novel paralogue of SFTPC might facilitate extrapulmonary respiration in the absence of lungs. Heterotopic expression of the SFTPC paralogue may have contributed to the remarkable evolutionary radiation of lungless salamanders, which account for more than two thirds of urodele species alive today.","container-title":"Proceedings of the Royal Society B: Biological Sciences","DOI":"10.1098/rspb.2018.1589","ISSN":"0962-8452","issue":"1888","journalAbbreviation":"Proc Biol Sci","note":"PMID: 30282653\nPMCID: PMC6191699","source":"PubMed Central","title":"Expression of a novel surfactant protein gene is associated with sites of extrapulmonary respiration in a lungless salamander","URL":"https://www.ncbi.nlm.nih.gov/pmc/articles/PMC6191699/","volume":"285","author":[{"family":"Lewis","given":"Zachary R."},{"family":"Dorantes","given":"Jorge A."},{"family":"Hanken","given":"James"}],"accessed":{"date-parts":[["2020",8,10]]},"issued":{"date-parts":[["2018",10,10]]}}}],"schema":"https://github.com/citation-style-language/schema/raw/master/csl-citation.json"} </w:instrText>
      </w:r>
      <w:r w:rsidR="00BB13AB" w:rsidRPr="00553649">
        <w:rPr>
          <w:rFonts w:ascii="Times New Roman" w:hAnsi="Times New Roman" w:cs="Times New Roman"/>
        </w:rPr>
        <w:fldChar w:fldCharType="separate"/>
      </w:r>
      <w:r w:rsidR="004D2321">
        <w:rPr>
          <w:rFonts w:ascii="Times New Roman" w:hAnsi="Times New Roman" w:cs="Times New Roman"/>
          <w:noProof/>
        </w:rPr>
        <w:t>(Lewis et al., 2018)</w:t>
      </w:r>
      <w:r w:rsidR="00BB13AB" w:rsidRPr="00553649">
        <w:rPr>
          <w:rFonts w:ascii="Times New Roman" w:hAnsi="Times New Roman" w:cs="Times New Roman"/>
        </w:rPr>
        <w:fldChar w:fldCharType="end"/>
      </w:r>
      <w:r w:rsidR="00C275ED">
        <w:rPr>
          <w:rFonts w:ascii="Times New Roman" w:hAnsi="Times New Roman" w:cs="Times New Roman"/>
        </w:rPr>
        <w:t xml:space="preserve"> and presents </w:t>
      </w:r>
      <w:r w:rsidR="00B243E0">
        <w:rPr>
          <w:rFonts w:ascii="Times New Roman" w:hAnsi="Times New Roman" w:cs="Times New Roman"/>
        </w:rPr>
        <w:t xml:space="preserve">the </w:t>
      </w:r>
      <w:r w:rsidR="00C275ED">
        <w:rPr>
          <w:rFonts w:ascii="Times New Roman" w:hAnsi="Times New Roman" w:cs="Times New Roman"/>
        </w:rPr>
        <w:t xml:space="preserve">potential </w:t>
      </w:r>
      <w:r w:rsidR="00B243E0">
        <w:rPr>
          <w:rFonts w:ascii="Times New Roman" w:hAnsi="Times New Roman" w:cs="Times New Roman"/>
        </w:rPr>
        <w:t xml:space="preserve">for </w:t>
      </w:r>
      <w:r w:rsidR="00C275ED">
        <w:rPr>
          <w:rFonts w:ascii="Times New Roman" w:hAnsi="Times New Roman" w:cs="Times New Roman"/>
        </w:rPr>
        <w:t>unique associations with symbionts.</w:t>
      </w:r>
    </w:p>
    <w:p w14:paraId="595D505F" w14:textId="3DEEE400" w:rsidR="007C7BE3" w:rsidRPr="00553649" w:rsidRDefault="007C7BE3" w:rsidP="004B6806">
      <w:pPr>
        <w:spacing w:line="360" w:lineRule="auto"/>
        <w:ind w:firstLine="720"/>
        <w:rPr>
          <w:rFonts w:ascii="Times New Roman" w:hAnsi="Times New Roman" w:cs="Times New Roman"/>
        </w:rPr>
      </w:pPr>
      <w:r w:rsidRPr="00553649">
        <w:rPr>
          <w:rFonts w:ascii="Times New Roman" w:hAnsi="Times New Roman" w:cs="Times New Roman"/>
        </w:rPr>
        <w:t xml:space="preserve">In Southern Appalachia, low-order streams and riparian zones </w:t>
      </w:r>
      <w:r w:rsidR="00B4054E">
        <w:rPr>
          <w:rFonts w:ascii="Times New Roman" w:hAnsi="Times New Roman" w:cs="Times New Roman"/>
        </w:rPr>
        <w:t xml:space="preserve">offer a </w:t>
      </w:r>
      <w:r w:rsidR="00B243E0">
        <w:rPr>
          <w:rFonts w:ascii="Times New Roman" w:hAnsi="Times New Roman" w:cs="Times New Roman"/>
        </w:rPr>
        <w:t>fine-grained</w:t>
      </w:r>
      <w:r w:rsidRPr="00553649">
        <w:rPr>
          <w:rFonts w:ascii="Times New Roman" w:hAnsi="Times New Roman" w:cs="Times New Roman"/>
        </w:rPr>
        <w:t xml:space="preserve"> system for studying the ecological and evolutionary drivers of host-associated microflora. Co-occurring species maintain high richness through interspecific competition and intraguild predation along aquatic-terrestrial gradients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{"citationID":"NS0ifPE5","properties":{"formattedCitation":"(Bruce, 2008; Crawford &amp; Semlitsch, 2007; Hairston, 1986; Southerland, 1986)","plainCitation":"(Bruce, 2008; Crawford &amp; Semlitsch, 2007; Hairston, 1986; Southerland, 1986)","noteIndex":0},"citationItems":[{"id":"aW8cvW4I/n43KqzLi","uris":["http://zotero.org/users/6401767/items/BYI3F7S9"],"itemData":{"id":6,"type":"article-journal","abstract":"In this paper I review the contributions of analytic and experimental research on intraguild predation and interspecific competition to our understanding of population regulation in plethodontid salamanders. Henry Wilbur's model of population regulation in amphibians serves as a framework for the arguments. Much of the discussion is based on studies of eastern North American plethodontids that have been the focus of most of the research. Ensembles of plethodontids in this region include species with complex life cycles (i. e., larval development) and simple life cycles (i. e., direct development). Interactions between members of these two life-history categories appear to be weaker than those within categories. Whereas there is no definitive evidence of factors that regulate populations of plethodontid salamanders, interspecific competition and intraguild predation do appear to contribute in some ensembles. Food and space have been identified as limiting resources in interspecific competition. Although predation of larger on smaller salamanders may be relatively rare in nature, the threat of predation appears to promote behavioral responses in members of the smaller species that reduce risks but may lower fitness through other effects. The role of extralimital predators and competitors in regulation of these salamanders is largely untested. Ideally, future research should involve manipulative experiments on unenclosed field plots that examine effects of resources, intraguild competitors and predators, and extralimital predators on populations of key species of plethodontids.","container-title":"Herpetological Monographs","ISSN":"0733-1347","note":"publisher: Herpetologists' League","page":"31-53","source":"JSTOR","title":"Intraguild Interactions and Population Regulation in Plethodontid Salamanders","volume":"22","author":[{"family":"Bruce","given":"Richard C."}],"issued":{"date-parts":[["2008"]]}}},{"id":3,"uris":["http://zotero.org/users/6401767/items/XBBCYKRS"],"itemData":{"id":3,"type":"article-journal","abstract":"Many species of wildlife depend on riparian habitats for various life-history functions (e.g., breeding, foraging, overwintering). Although this unique habitat is critical for many species, delineations of riparian zones and buffers for various taxa are lacking. Typically when buffer zones are determined to mitigate edge effects, they are based on criteria that protect aquatic resources alone and do not consider impacts to wildlife and other terrestrial resources. Using two different survey methods (area-constrained daytime searches and nighttime visual encounter searches), we estimated core terrestrial habitat and buffer widths for stream-breeding salamanders in southern Appalachian streams from May to August 2004. A core terrestrial habitat of 27.0 m encompassed 95% of the salamander assemblage (four species of stream plethodontids), and an additional 50 m (to buffer edge effects) yielded a total buffer of 77.0 m. When each species of the assemblage was analyzed separately, the maximum core terrestrial habitat needed for the Blue Ridge two-lined salamander (Eurycea wilderae), a dominant member and the farthest-ranging species from the stream, was 42.6 m. Thus, we recommend an overall buffer width of 92.6 m in southern Appalachian streams. To protect stream amphibians and other wildlife dependent on riparian areas, land managers and policy makers must consider conserving more than aquatic resources alone. Developing core terrestrial habitat estimates and buffer zone widths for wildlife populations is a critical first step in the conservation of many semiaquatic organisms and protecting biodiversity.","container-title":"Conservation Biology: The Journal of the Society for Conservation Biology","DOI":"10.1111/j.1523-1739.2006.00556.x","ISSN":"0888-8892","issue":"1","journalAbbreviation":"Conserv Biol","language":"eng","note":"PMID: 17298521","page":"152-158","source":"PubMed","title":"Estimation of core terrestrial habitat for stream-breeding salamanders and delineation of riparian buffers for protection of biodiversity","volume":"21","author":[{"family":"Crawford","given":"John A."},{"family":"Semlitsch","given":"Raymond D."}],"issued":{"date-parts":[["2007",2]]}}},{"id":4,"uris":["http://zotero.org/users/6401767/items/UAZGGGYM"],"itemData":{"id":4,"type":"article-journal","abstract":"Five years ago, experiments were proposed to determine whether competition or predation is the principal ecological factor in the organization of the community of Desmognathus salamanders. The experiments were conducted in the Nantahala Mountains of North Carolina over a four-year period, 1981-1984. There were four species present: D. quadramaculatus, the largest and most aquatic; D. monticola, the next largest, a stream-bank species; D. ochrophaeus, smaller and largely terrestrial; and D. aeneus, the smallest and most terrestrial of the four. A block design of replicate plots along streams was used. Removing a smaller species (D. ochrophaeus) was expected to cause an increase in the D. monticola or D. quadramaculatus populations only if competition were the important interaction. Removing D. monticola individuals was expected to increase the abundance of D. ochrophaeus, whether competition or predation was important, but it would increase D. quadramaculatus numbers only in the case of competition. The outcome largely supported the hypothesis that predation is the important organizing force. When D. ochrophaeus individuals were removed, the abundance of both larger species decreased significantly, relative to their abundance on control plots. Removing D. monticola salamanders led to the expected increase in the abundance of D. ochrophaeus, thus completing the predictions of the predation hypothesis. There was a small but statistically significant increase in the numbers of D. quadramaculatus, a result that confirmed the existence of competition. I conclude that D. monticola and D. quadramaculatus compete for food and that D. ochrophaeus is an important item in their diets. The importance of experimentation and prior publication of research designs is stressed.","container-title":"The American Naturalist","ISSN":"0003-0147","issue":"3","note":"publisher: [University of Chicago Press, American Society of Naturalists]","page":"266-291","source":"JSTOR","title":"Species Packing in Desmognathus Salamanders: Experimental Demonstration of Predation and Competition","title-short":"Species Packing in Desmognathus Salamanders","volume":"127","author":[{"family":"Hairston","given":"Nelson G."}],"issued":{"date-parts":[["1986"]]}}},{"id":447,"uris":["http://zotero.org/users/6401767/items/NINQ99ZJ"],"itemData":{"id":447,"type":"article-journal","abstract":"Different assemblages of salamanders were found in different mountain streams within the same watershed. The species composition at each stream varied according to whether one or two semi-aquatic species were present. Where more than 50% of the streambank possessed cover two semi-aquatic species occurred. The results of three studies indicate that the habitat affected interactions within this salamander community. The semi-aquatic Desmognathus monticola was found farther from water in streams with the larger semi-aquatic D. quadramaculatus than in streams without it. At a densely populated site, streambank burrows were monopolized by large desmognathines. These burrows were regularly spaced as expected if equal-sized desmognathines avoid occupied burrows. The addition of rocky or woody streambank cover to small streams increased the numbers of salamanders found in subsequent searches. The abundance of D. monticola showed the greatest increase, one that continued throughout the 16 wk experiment. Within searches, small salamanders and juveniles were less often found with large salamanders than with other small individuals. Habitat differences along mountain streams are important in determining the structure of salamander communities because they can moderate the effects of predation. Predation by large species (e.g., D. quadramaculatus) limits the abundance of semi-aquatic species with small juveniles (e.g., D. monticola). These two semi-aquatic species will coexist in the presence of abundant streambank cover, but may compete as adults for permanent burrows.","container-title":"Copeia","DOI":"10.2307/1444957","ISSN":"0045-8511","issue":"3","note":"publisher: [American Society of Ichthyologists and Herpetologists (ASIH), Allen Press]","page":"731-741","source":"JSTOR","title":"The Effects of Variation in Streamside Habitats on the Composition of Mountain Salamander Communities","volume":"1986","author":[{"family":"Southerland","given":"Mark T."}],"issued":{"date-parts":[["1986"]]}}}],"schema":"https://github.com/citation-style-language/schema/raw/master/csl-citation.json"}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(Bruce, 2008; Crawford &amp; Semlitsch, 2007; Hairston, 1986; Southerland, 1986)</w:t>
      </w:r>
      <w:r w:rsidRPr="00553649">
        <w:rPr>
          <w:rFonts w:ascii="Times New Roman" w:hAnsi="Times New Roman" w:cs="Times New Roman"/>
        </w:rPr>
        <w:fldChar w:fldCharType="end"/>
      </w:r>
      <w:r w:rsidRPr="00553649">
        <w:rPr>
          <w:rFonts w:ascii="Times New Roman" w:hAnsi="Times New Roman" w:cs="Times New Roman"/>
        </w:rPr>
        <w:t xml:space="preserve">. Thus, a single aquatic/terrestrial interface can contain as many as eight species of salamanders in </w:t>
      </w:r>
      <w:proofErr w:type="gramStart"/>
      <w:r w:rsidRPr="00553649">
        <w:rPr>
          <w:rFonts w:ascii="Times New Roman" w:hAnsi="Times New Roman" w:cs="Times New Roman"/>
        </w:rPr>
        <w:t>close proximity</w:t>
      </w:r>
      <w:proofErr w:type="gramEnd"/>
      <w:r w:rsidRPr="00553649">
        <w:rPr>
          <w:rFonts w:ascii="Times New Roman" w:hAnsi="Times New Roman" w:cs="Times New Roman"/>
        </w:rPr>
        <w:t xml:space="preserve">. These organisms are the dominant vertebrate in headwater streams and can exist in abundances as high as 14.7 </w:t>
      </w:r>
      <w:proofErr w:type="spellStart"/>
      <w:r w:rsidRPr="00553649">
        <w:rPr>
          <w:rFonts w:ascii="Times New Roman" w:hAnsi="Times New Roman" w:cs="Times New Roman"/>
        </w:rPr>
        <w:t>larvae</w:t>
      </w:r>
      <w:r w:rsidR="00B243E0">
        <w:rPr>
          <w:rFonts w:ascii="Times New Roman" w:hAnsi="Times New Roman" w:cs="Times New Roman"/>
        </w:rPr>
        <w:t>+</w:t>
      </w:r>
      <w:r w:rsidRPr="00553649">
        <w:rPr>
          <w:rFonts w:ascii="Times New Roman" w:hAnsi="Times New Roman" w:cs="Times New Roman"/>
        </w:rPr>
        <w:t>adults</w:t>
      </w:r>
      <w:proofErr w:type="spellEnd"/>
      <w:r w:rsidRPr="00553649">
        <w:rPr>
          <w:rFonts w:ascii="Times New Roman" w:hAnsi="Times New Roman" w:cs="Times New Roman"/>
        </w:rPr>
        <w:t xml:space="preserve"> per m</w:t>
      </w:r>
      <w:r w:rsidRPr="00553649">
        <w:rPr>
          <w:rFonts w:ascii="Times New Roman" w:hAnsi="Times New Roman" w:cs="Times New Roman"/>
          <w:vertAlign w:val="superscript"/>
        </w:rPr>
        <w:t>2</w:t>
      </w:r>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{"citationID":"393oRv4E","properties":{"formattedCitation":"(Davic, 1983)","plainCitation":"(Davic, 1983)","noteIndex":0},"citationItems":[{"id":446,"uris":["http://zotero.org/users/6401767/items/TIWPPEAC"],"itemData":{"id":446,"type":"thesis","genre":"Unpublished PhD dissertation","publisher":"Kent State University","title":"An investigation of salamander guild predation in a North Carolina steam: an experimental approach","author":[{"family":"Davic","given":"Robert"}],"issued":{"date-parts":[["1983"]]}}}],"schema":"https://github.com/citation-style-language/schema/raw/master/csl-citation.json"}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(Davic, 1983)</w:t>
      </w:r>
      <w:r w:rsidRPr="00553649">
        <w:rPr>
          <w:rFonts w:ascii="Times New Roman" w:hAnsi="Times New Roman" w:cs="Times New Roman"/>
        </w:rPr>
        <w:fldChar w:fldCharType="end"/>
      </w:r>
      <w:r w:rsidRPr="00553649">
        <w:rPr>
          <w:rFonts w:ascii="Times New Roman" w:hAnsi="Times New Roman" w:cs="Times New Roman"/>
        </w:rPr>
        <w:t xml:space="preserve"> and an estimated 1.8 adults/m</w:t>
      </w:r>
      <w:r w:rsidRPr="00553649">
        <w:rPr>
          <w:rFonts w:ascii="Times New Roman" w:hAnsi="Times New Roman" w:cs="Times New Roman"/>
          <w:vertAlign w:val="superscript"/>
        </w:rPr>
        <w:t>2</w:t>
      </w:r>
      <w:r w:rsidRPr="00553649">
        <w:rPr>
          <w:rFonts w:ascii="Times New Roman" w:hAnsi="Times New Roman" w:cs="Times New Roman"/>
        </w:rPr>
        <w:t xml:space="preserve"> in riparian zones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{"citationID":"OJoBwbsO","properties":{"formattedCitation":"(Petranka &amp; Murray, 2001)","plainCitation":"(Petranka &amp; Murray, 2001)","noteIndex":0},"citationItems":[{"id":1,"uris":["http://zotero.org/users/6401767/items/2W3I8BL2"],"itemData":{"id":1,"type":"article-journal","abstract":"We surveyed a streamside community in a southern Appalachian old-growth forest to determine the feasibility of using removal sampling to estimate salamander density and biomass. We removed salamanders during 21 nightly searches of two 30 × 30 m plots from 29 June to 20 July 1999. Despite the removal of 2433 animals and a lack of evidence for significant trespass onto plots, there was no overall decline in total catch per night. Moisture levels associated with recent rainfall history strongly influenced the surface activity of small species (Desmognathus carolinensis, Desmognathus wrighti, Eurycea bislineata wilderae) but not large species (Plethodon jordani, Plethodon glutinosus, Plethodon yonahlossee). More refined analyses of individual species using either regression analysis (large species) or covariance analysis (small species adjusted for moisture conditions) indicate that the catch of all species except D. wrighti declined with time. The estimated number of consecutive nights required to remove 70% of the population varied from eight (P. yonahlossee) to 32 (D. carolinensis) and tended to be inversely related to the body size of the species. Conservative estimates of total salamander density and wet biomass in streamside habitats at this site are 18,486 individuals and 16.53 kg per hectare. These values are seven and 14 times greater than those reported for the Hubbard Brook Experimental Forest in New Hampshire and underscore the importance of salamanders in riparian zone communities of southern Appalachian forests.","container-title":"Journal of Herpetology","DOI":"10.2307/1566020","ISSN":"0022-1511","issue":"1","note":"publisher: Society for the Study of Amphibians and Reptiles","page":"36-44","source":"JSTOR","title":"Effectiveness of Removal Sampling for Determining Salamander Density and Biomass: A Case Study in an Appalachian Streamside Community","title-short":"Effectiveness of Removal Sampling for Determining Salamander Density and Biomass","volume":"35","author":[{"family":"Petranka","given":"James W."},{"family":"Murray","given":"Susan S."}],"issued":{"date-parts":[["2001"]]}}}],"schema":"https://github.com/citation-style-language/schema/raw/master/csl-citation.json"}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(Petranka &amp; Murray, 2001)</w:t>
      </w:r>
      <w:r w:rsidRPr="00553649">
        <w:rPr>
          <w:rFonts w:ascii="Times New Roman" w:hAnsi="Times New Roman" w:cs="Times New Roman"/>
        </w:rPr>
        <w:fldChar w:fldCharType="end"/>
      </w:r>
      <w:r w:rsidRPr="00553649">
        <w:rPr>
          <w:rFonts w:ascii="Times New Roman" w:hAnsi="Times New Roman" w:cs="Times New Roman"/>
        </w:rPr>
        <w:t xml:space="preserve">. The biomass contribution of salamanders to aquatic and terrestrial ecosystems is oftentimes </w:t>
      </w:r>
      <w:r w:rsidR="00B243E0">
        <w:rPr>
          <w:rFonts w:ascii="Times New Roman" w:hAnsi="Times New Roman" w:cs="Times New Roman"/>
        </w:rPr>
        <w:t xml:space="preserve">the </w:t>
      </w:r>
      <w:r w:rsidRPr="00553649">
        <w:rPr>
          <w:rFonts w:ascii="Times New Roman" w:hAnsi="Times New Roman" w:cs="Times New Roman"/>
        </w:rPr>
        <w:t xml:space="preserve">highest among vertebrate predators and effectively links biomass transfer between aquatic and terrestrial ecosystems through biphasic lifestyles and trophic cascades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{"citationID":"j7nYtWuh","properties":{"formattedCitation":"(Davic &amp; Welsh, 2004)","plainCitation":"(Davic &amp; Welsh, 2004)","noteIndex":0},"citationItems":[{"id":5,"uris":["http://zotero.org/users/6401767/items/G4TT9YU8"],"itemData":{"id":5,"type":"article-journal","abstract":"Salamanders are cryptic and, though largely unrecognized as such, extremely abundant vertebrates in a variety of primarily forest and grassland environ-ments, where they regulate food webs and contribute to ecosystem resilience-resistance (= stability) in several ways: (a) As mid-level vertebrate predators, they provide direct and indirect biotic control of species diversity and ecosystem processes along grazer and detritus pathways; (b) via their migrations, they connect energy and matter between aquatic and terrestrial landscapes; (c) through association with underground burrow systems, they contribute to soil dynamics; and (d) they supply high-quality and slowly available stores of energy and nutrients for tertiary consumers throughout ecological succession. Salamanders also can provide an important service to humans through their use as cost-effective and readily quantifiable metrics of ecosystem health and integrity. The diverse ecological roles of salamanders in natural areas underscore the importance of their conservation.","container-title":"Annu. Rev. Ecol. Evol. Syst","DOI":"10.1146/annurev.ecolsys.35.112202.130116","journalAbbreviation":"Annu. Rev. Ecol. Evol. Syst","page":"405-34","source":"ResearchGate","title":"On the ecological role of salamanders. Annu Rev Ecol Syst","volume":"12","author":[{"family":"Davic","given":"Robert"},{"family":"Welsh","given":"Hartwell"}],"issued":{"date-parts":[["2004",12,15]]}}}],"schema":"https://github.com/citation-style-language/schema/raw/master/csl-citation.json"}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(Davic &amp; Welsh, 2004)</w:t>
      </w:r>
      <w:r w:rsidRPr="00553649">
        <w:rPr>
          <w:rFonts w:ascii="Times New Roman" w:hAnsi="Times New Roman" w:cs="Times New Roman"/>
        </w:rPr>
        <w:fldChar w:fldCharType="end"/>
      </w:r>
      <w:r w:rsidRPr="00553649">
        <w:rPr>
          <w:rFonts w:ascii="Times New Roman" w:hAnsi="Times New Roman" w:cs="Times New Roman"/>
        </w:rPr>
        <w:t xml:space="preserve">. Salamanders occupying these areas serve as bioindicators of ecosystem health </w:t>
      </w:r>
      <w:proofErr w:type="gramStart"/>
      <w:r w:rsidRPr="00553649">
        <w:rPr>
          <w:rFonts w:ascii="Times New Roman" w:hAnsi="Times New Roman" w:cs="Times New Roman"/>
        </w:rPr>
        <w:t>and also</w:t>
      </w:r>
      <w:proofErr w:type="gramEnd"/>
      <w:r w:rsidRPr="00553649">
        <w:rPr>
          <w:rFonts w:ascii="Times New Roman" w:hAnsi="Times New Roman" w:cs="Times New Roman"/>
        </w:rPr>
        <w:t xml:space="preserve"> represent </w:t>
      </w:r>
      <w:r w:rsidRPr="00553649">
        <w:rPr>
          <w:rFonts w:ascii="Times New Roman" w:hAnsi="Times New Roman" w:cs="Times New Roman"/>
        </w:rPr>
        <w:lastRenderedPageBreak/>
        <w:t>a unique system to study how symbionts are acquired and maintained on hosts, both similarly and differently, between host species at small geographical scales.</w:t>
      </w:r>
    </w:p>
    <w:p w14:paraId="6BE126CC" w14:textId="54BEE8CA" w:rsidR="007C7BE3" w:rsidRPr="00553649" w:rsidRDefault="007C7BE3" w:rsidP="007C7BE3">
      <w:pPr>
        <w:pStyle w:val="Heading2"/>
        <w:rPr>
          <w:rFonts w:ascii="Times New Roman" w:hAnsi="Times New Roman" w:cs="Times New Roman"/>
          <w:b w:val="0"/>
          <w:bCs w:val="0"/>
        </w:rPr>
      </w:pPr>
      <w:bookmarkStart w:id="5" w:name="_Toc165028044"/>
      <w:r w:rsidRPr="00553649">
        <w:rPr>
          <w:rFonts w:ascii="Times New Roman" w:hAnsi="Times New Roman" w:cs="Times New Roman"/>
        </w:rPr>
        <w:t xml:space="preserve">Fungal pathogens </w:t>
      </w:r>
      <w:r w:rsidRPr="00553649">
        <w:rPr>
          <w:rFonts w:ascii="Times New Roman" w:hAnsi="Times New Roman" w:cs="Times New Roman"/>
          <w:i/>
        </w:rPr>
        <w:t xml:space="preserve">Batrachochytrium </w:t>
      </w:r>
      <w:proofErr w:type="spellStart"/>
      <w:r w:rsidRPr="00553649">
        <w:rPr>
          <w:rFonts w:ascii="Times New Roman" w:hAnsi="Times New Roman" w:cs="Times New Roman"/>
          <w:i/>
        </w:rPr>
        <w:t>dendrobatidis</w:t>
      </w:r>
      <w:proofErr w:type="spellEnd"/>
      <w:r w:rsidRPr="00553649">
        <w:rPr>
          <w:rFonts w:ascii="Times New Roman" w:hAnsi="Times New Roman" w:cs="Times New Roman"/>
        </w:rPr>
        <w:t xml:space="preserve"> and </w:t>
      </w:r>
      <w:r w:rsidRPr="00553649">
        <w:rPr>
          <w:rFonts w:ascii="Times New Roman" w:hAnsi="Times New Roman" w:cs="Times New Roman"/>
          <w:i/>
        </w:rPr>
        <w:t xml:space="preserve">Batrachochytrium </w:t>
      </w:r>
      <w:proofErr w:type="spellStart"/>
      <w:r w:rsidRPr="00553649">
        <w:rPr>
          <w:rFonts w:ascii="Times New Roman" w:hAnsi="Times New Roman" w:cs="Times New Roman"/>
          <w:i/>
        </w:rPr>
        <w:t>salamandrivorans</w:t>
      </w:r>
      <w:proofErr w:type="spellEnd"/>
      <w:r w:rsidRPr="00553649">
        <w:rPr>
          <w:rFonts w:ascii="Times New Roman" w:hAnsi="Times New Roman" w:cs="Times New Roman"/>
          <w:i/>
        </w:rPr>
        <w:t xml:space="preserve"> </w:t>
      </w:r>
      <w:r w:rsidRPr="00553649">
        <w:rPr>
          <w:rFonts w:ascii="Times New Roman" w:hAnsi="Times New Roman" w:cs="Times New Roman"/>
        </w:rPr>
        <w:t xml:space="preserve">and </w:t>
      </w:r>
      <w:r w:rsidR="00CE4063">
        <w:rPr>
          <w:rFonts w:ascii="Times New Roman" w:hAnsi="Times New Roman" w:cs="Times New Roman"/>
        </w:rPr>
        <w:t>defensive symbionts</w:t>
      </w:r>
      <w:bookmarkEnd w:id="5"/>
    </w:p>
    <w:p w14:paraId="379A5B98" w14:textId="3E8C4F50" w:rsidR="007C7BE3" w:rsidRPr="00553649" w:rsidRDefault="007C7BE3" w:rsidP="00C1539C">
      <w:pPr>
        <w:spacing w:line="360" w:lineRule="auto"/>
        <w:ind w:firstLine="720"/>
        <w:rPr>
          <w:rFonts w:ascii="Times New Roman" w:hAnsi="Times New Roman" w:cs="Times New Roman"/>
        </w:rPr>
      </w:pPr>
      <w:r w:rsidRPr="00553649">
        <w:rPr>
          <w:rFonts w:ascii="Times New Roman" w:hAnsi="Times New Roman" w:cs="Times New Roman"/>
        </w:rPr>
        <w:t xml:space="preserve">Global amphibian declines are occurring at an unprecedented scale, with 41% of species experiencing declines, over 100 </w:t>
      </w:r>
      <w:r w:rsidR="00AE64E7" w:rsidRPr="00553649">
        <w:rPr>
          <w:rFonts w:ascii="Times New Roman" w:hAnsi="Times New Roman" w:cs="Times New Roman"/>
        </w:rPr>
        <w:t xml:space="preserve">species </w:t>
      </w:r>
      <w:r w:rsidRPr="00553649">
        <w:rPr>
          <w:rFonts w:ascii="Times New Roman" w:hAnsi="Times New Roman" w:cs="Times New Roman"/>
        </w:rPr>
        <w:t xml:space="preserve">on the verge of extinction, and 9 species extinct since 1980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{"citationID":"6bADehIb","properties":{"formattedCitation":"(Luedtke et al., 2023; Stuart et al., 2004)","plainCitation":"(Luedtke et al., 2023; Stuart et al., 2004)","noteIndex":0},"citationItems":[{"id":371,"uris":["http://zotero.org/users/6401767/items/SWR5QY2N"],"itemData":{"id":371,"type":"article-journal","abstract":"Systematic assessments of species extinction risk at regular intervals are necessary for informing conservation action1,2. Ongoing developments in taxonomy, threatening processes and research further underscore the need for reassessment3,4. Here we report the findings of the second Global Amphibian Assessment, evaluating 8,011 species for the International Union for Conservation of Nature Red List of Threatened Species. We find that amphibians are the most threatened vertebrate class (40.7% of species are globally threatened). The updated Red List Index shows that the status of amphibians is deteriorating globally, particularly for salamanders and in the Neotropics. Disease and habitat loss drove 91% of status deteriorations between 1980 and 2004. Ongoing and projected climate change effects are now of increasing concern, driving 39% of status deteriorations since 2004, followed by habitat loss (37%). Although signs of species recoveries incentivize immediate conservation action, scaled-up investment is urgently needed to reverse the current trends.","container-title":"Nature","DOI":"10.1038/s41586-023-06578-4","ISSN":"1476-4687","issue":"7982","language":"en","license":"2023 The Author(s)","note":"number: 7982\npublisher: Nature Publishing Group","page":"308-314","source":"www.nature.com","title":"Ongoing declines for the world’s amphibians in the face of emerging threats","volume":"622","author":[{"family":"Luedtke","given":"Jennifer A."},{"family":"Chanson","given":"Janice"},{"family":"Neam","given":"Kelsey"},{"family":"Hobin","given":"Louise"},{"family":"Maciel","given":"Adriano O."},{"family":"Catenazzi","given":"Alessandro"},{"family":"Borzée","given":"Amaël"},{"family":"Hamidy","given":"Amir"},{"family":"Aowphol","given":"Anchalee"},{"family":"Jean","given":"Anderson"},{"family":"Sosa-Bartuano","given":"Ángel"},{"family":"Fong G.","given":"Ansel"},{"family":"Silva","given":"Anslem","non-dropping-particle":"de"},{"family":"Fouquet","given":"Antoine"},{"family":"Angulo","given":"Ariadne"},{"family":"Kidov","given":"Artem A."},{"family":"Muñoz Saravia","given":"Arturo"},{"family":"Diesmos","given":"Arvin C."},{"family":"Tominaga","given":"Atsushi"},{"family":"Shrestha","given":"Biraj"},{"family":"Gratwicke","given":"Brian"},{"family":"Tjaturadi","given":"Burhan"},{"family":"Martínez Rivera","given":"Carlos C."},{"family":"Vásquez Almazán","given":"Carlos R."},{"family":"Señaris","given":"Celsa"},{"family":"Chandramouli","given":"S. R."},{"family":"Strüssmann","given":"Christine"},{"family":"Cortez Fernández","given":"Claudia Fabiola"},{"family":"Azat","given":"Claudio"},{"family":"Hoskin","given":"Conrad J."},{"family":"Hilton-Taylor","given":"Craig"},{"family":"Whyte","given":"Damion L."},{"family":"Gower","given":"David J."},{"family":"Olson","given":"Deanna H."},{"family":"Cisneros-Heredia","given":"Diego F."},{"family":"Santana","given":"Diego José"},{"family":"Nagombi","given":"Elizah"},{"family":"Najafi-Majd","given":"Elnaz"},{"family":"Quah","given":"Evan S. H."},{"family":"Bolaños","given":"Federico"},{"family":"Xie","given":"Feng"},{"family":"Brusquetti","given":"Francisco"},{"family":"Álvarez","given":"Francisco S."},{"family":"Andreone","given":"Franco"},{"family":"Glaw","given":"Frank"},{"family":"Castañeda","given":"Franklin Enrique"},{"family":"Kraus","given":"Fred"},{"family":"Parra-Olea","given":"Gabriela"},{"family":"Chaves","given":"Gerardo"},{"family":"Medina-Rangel","given":"Guido F."},{"family":"González-Durán","given":"Gustavo"},{"family":"Ortega-Andrade","given":"H. Mauricio"},{"family":"Machado","given":"Iberê F."},{"family":"Das","given":"Indraneil"},{"family":"Dias","given":"Iuri Ribeiro"},{"family":"Urbina-Cardona","given":"J. Nicolas"},{"family":"Crnobrnja-Isailović","given":"Jelka"},{"family":"Yang","given":"Jian-Huan"},{"family":"Jianping","given":"Jiang"},{"family":"Wangyal","given":"Jigme Tshelthrim"},{"family":"Rowley","given":"Jodi J. L."},{"family":"Measey","given":"John"},{"family":"Vasudevan","given":"Karthikeyan"},{"family":"Chan","given":"Kin Onn"},{"family":"Gururaja","given":"Kotambylu Vasudeva"},{"family":"Ovaska","given":"Kristiina"},{"family":"Warr","given":"Lauren C."},{"family":"Canseco-Márquez","given":"Luis"},{"family":"Toledo","given":"Luís Felipe"},{"family":"Díaz","given":"Luis M."},{"family":"Khan","given":"M. Monirul H."},{"family":"Meegaskumbura","given":"Madhava"},{"family":"Acevedo","given":"Manuel E."},{"family":"Napoli","given":"Marcelo Felgueiras"},{"family":"Ponce","given":"Marcos A."},{"family":"Vaira","given":"Marcos"},{"family":"Lampo","given":"Margarita"},{"family":"Yánez-Muñoz","given":"Mario H."},{"family":"Scherz","given":"Mark D."},{"family":"Rödel","given":"Mark-Oliver"},{"family":"Matsui","given":"Masafumi"},{"family":"Fildor","given":"Maxon"},{"family":"Kusrini","given":"Mirza D."},{"family":"Ahmed","given":"Mohammad Firoz"},{"family":"Rais","given":"Muhammad"},{"family":"Kouamé","given":"N’Goran G."},{"family":"García","given":"Nieves"},{"family":"Gonwouo","given":"Nono Legrand"},{"family":"Burrowes","given":"Patricia A."},{"family":"Imbun","given":"Paul Y."},{"family":"Wagner","given":"Philipp"},{"family":"Kok","given":"Philippe J. R."},{"family":"Joglar","given":"Rafael L."},{"family":"Auguste","given":"Renoir J."},{"family":"Brandão","given":"Reuber Albuquerque"},{"family":"Ibáñez","given":"Roberto"},{"family":"May","given":"Rudolf","non-dropping-particle":"von"},{"family":"Hedges","given":"S. Blair"},{"family":"Biju","given":"S. D."},{"family":"Ganesh","given":"S. R."},{"family":"Wren","given":"Sally"},{"family":"Das","given":"Sandeep"},{"family":"Flechas","given":"Sandra V."},{"family":"Ashpole","given":"Sara L."},{"family":"Robleto-Hernández","given":"Silvia J."},{"family":"Loader","given":"Simon P."},{"family":"Incháustegui","given":"Sixto J."},{"family":"Garg","given":"Sonali"},{"family":"Phimmachak","given":"Somphouthone"},{"family":"Richards","given":"Stephen J."},{"family":"Slimani","given":"Tahar"},{"family":"Osborne-Naikatini","given":"Tamara"},{"family":"Abreu-Jardim","given":"Tatianne P. F."},{"family":"Condez","given":"Thais H."},{"family":"De Carvalho","given":"Thiago R."},{"family":"Cutajar","given":"Timothy P."},{"family":"Pierson","given":"Todd W."},{"family":"Nguyen","given":"Truong Q."},{"family":"Kaya","given":"Uğur"},{"family":"Yuan","given":"Zhiyong"},{"family":"Long","given":"Barney"},{"family":"Langhammer","given":"Penny"},{"family":"Stuart","given":"Simon N."}],"issued":{"date-parts":[["2023",10]]}}},{"id":439,"uris":["http://zotero.org/users/6401767/items/GV2VRUWK"],"itemData":{"id":439,"type":"article-journal","abstract":"The first global assessment of amphibians provides new context for the well-publicized phenomenon of amphibian declines. Amphibians are more threatened and are declining more rapidly than either birds or mammals. Although many declines are due to habitat loss and overutilization, other, unidentified processes threaten 48% of rapidly declining species and are driving species most quickly to extinction. Declines are nonrandom in terms of species' ecological preferences, geographic ranges, and taxonomic associations and are most prevalent among Neotropical montane, stream-associated species. The lack of conservation remedies for these poorly understood declines means that hundreds of amphibian species now face extinction.","container-title":"Science (New York, N.Y.)","DOI":"10.1126/science.1103538","ISSN":"1095-9203","issue":"5702","journalAbbreviation":"Science","language":"eng","note":"PMID: 15486254","page":"1783-1786","source":"PubMed","title":"Status and trends of amphibian declines and extinctions worldwide","volume":"306","author":[{"family":"Stuart","given":"Simon N."},{"family":"Chanson","given":"Janice S."},{"family":"Cox","given":"Neil A."},{"family":"Young","given":"Bruce E."},{"family":"Rodrigues","given":"Ana S. L."},{"family":"Fischman","given":"Debra L."},{"family":"Waller","given":"Robert W."}],"issued":{"date-parts":[["2004",12,3]]}}}],"schema":"https://github.com/citation-style-language/schema/raw/master/csl-citation.json"}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(Luedtke et al., 2023; Stuart et al., 2004)</w:t>
      </w:r>
      <w:r w:rsidRPr="00553649">
        <w:rPr>
          <w:rFonts w:ascii="Times New Roman" w:hAnsi="Times New Roman" w:cs="Times New Roman"/>
        </w:rPr>
        <w:fldChar w:fldCharType="end"/>
      </w:r>
      <w:r w:rsidRPr="00553649">
        <w:rPr>
          <w:rFonts w:ascii="Times New Roman" w:hAnsi="Times New Roman" w:cs="Times New Roman"/>
        </w:rPr>
        <w:t xml:space="preserve">. These declines are over 200 times historical background rates and can be attributed to an array of factors including land use change, commercial use, environmental contaminants, climate change, invasive species, infectious diseases, or combinations of these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{"citationID":"9iNTabK9","properties":{"formattedCitation":"(Collins, 2010; Lips et al., 2008; Roelants et al., 2007; Skerratt et al., 2007; Stuart et al., 2004)","plainCitation":"(Collins, 2010; Lips et al., 2008; Roelants et al., 2007; Skerratt et al., 2007; Stuart et al., 2004)","noteIndex":0},"citationItems":[{"id":440,"uris":["http://zotero.org/users/6401767/items/RBBY922N"],"itemData":{"id":440,"type":"article-journal","abstract":"For over 350 million yr, thousands of amphibian species have lived on Earth. Since the 1980s, amphibians have been disappearing at an alarming rate, in many cases quite suddenly. What is causing these declines and extinctions? In the modern era (post 1500) there are 6 leading causes of biodiversity loss in general, and all of these acting alone or together are responsible for modern amphibian declines: commercial use; introduced/exotic species that compete with, prey on, and parasitize native frogs and salamanders; land use change; contaminants; climate change; and infectious disease. The first 3 causes are historical in the sense that they have been operating for hundreds of years, although the rate of change due to each accelerated greatly after about the mid-20th century. Contaminants, climate change, and emerging infectious diseases are modern causes suspected of being responsible for the so-called ‘enigmatic decline’ of amphibians in protected areas. Introduced/exotic pathogens, land use change, and infectious disease are the 3 causes with a clear role in amphibian decline as well as extinction; thus far, the other 3 causes are only implicated in decline and not extinction. The present work is a review of the 6 causes with a focus on pathogens and suggested areas where new research is needed. Batrachochytrium dendrobatidis (Bd) is a chytrid fungus that is an emerging infectious disease causing amphibian population decline and species extinction. Historically, pathogens have not been seen as a major cause of extinction, but Bd is an exception, which is why it is such an interesting, important pathogen to understand. The late 20th and early 21st century global biodiversity loss is characterized as a sixth extinction event. Amphibians are a striking example of these losses as they disappear at a rate that greatly exceeds historical levels. Consequently, modern amphibian decline and extinction is a lens through which we can view the larger story of biodiversity loss and its consequences.","container-title":"Diseases of Aquatic Organisms","DOI":"10.3354/dao02307","ISSN":"0177-5103, 1616-1580","issue":"3","journalAbbreviation":"Dis. Aquat. Org.","language":"en","page":"93-99","source":"DOI.org (Crossref)","title":"Amphibian decline and extinction: What we know and what we need to learn","title-short":"Amphibian decline and extinction","volume":"92","author":[{"family":"Collins","given":"Jp"}],"issued":{"date-parts":[["2010",11,25]]}}},{"id":442,"uris":["http://zotero.org/users/6401767/items/MDGRFG2M"],"itemData":{"id":442,"type":"article-journal","abstract":"We review the evidence for the role of climate change in triggering disease outbreaks of chytridiomycosis, an emerging infectious disease of amphibians. Both climatic anomalies and disease-related extirpations are recent phenomena, and effects of both are especially noticeable at high elevations in tropical areas, making it difficult to determine whether they are operating separately or synergistically. We compiled reports of amphibian declines from Lower Central America and Andean South America to create maps and statistical models to test our hypothesis of spatiotemporal spread of the pathogen Batrachochytrium dendrobatidis (Bd), and to update the elevational patterns of decline in frogs belonging to the genus Atelopus. We evaluated claims of climate change influencing the spread of Bd by including error into estimates of the relationship between air temperature and last year observed. Available data support the hypothesis of multiple introductions of this invasive pathogen into South America and subsequent spread along the primary Andean cordilleras. Additional analyses found no evidence to support the hypothesis that climate change has been driving outbreaks of amphibian chytridiomycosis, as has been posited in the climate-linked epidemic hypothesis. Future studies should increase retrospective surveys of museum specimens from throughout the Andes and should study the landscape genetics of Bd to map fine-scale patterns of geographic spread to identify transmission routes and processes.","container-title":"PLOS Biology","DOI":"10.1371/journal.pbio.0060072","ISSN":"1545-7885","issue":"3","journalAbbreviation":"PLOS Biology","language":"en","note":"publisher: Public Library of Science","page":"e72","source":"PLoS Journals","title":"Riding the Wave: Reconciling the Roles of Disease and Climate Change in Amphibian Declines","title-short":"Riding the Wave","volume":"6","author":[{"family":"Lips","given":"Karen R."},{"family":"Diffendorfer","given":"Jay"},{"family":"Iii","given":"Joseph R. Mendelson"},{"family":"Sears","given":"Michael W."}],"issued":{"date-parts":[["2008",3,25]]}}},{"id":438,"uris":["http://zotero.org/users/6401767/items/3GH6IIZJ"],"itemData":{"id":438,"type":"article-journal","abstract":"The fossil record of modern amphibians (frogs, salamanders, and caecilians) provides no evidence for major extinction or radiation episodes throughout most of the Mesozoic and early Tertiary. However, long-term gradual diversification is difficult to reconcile with the sensitivity of present-day amphibian faunas to rapid ecological changes and the incidence of similar environmental perturbations in the past that have been associated with high turnover rates in other land vertebrates. To provide a comprehensive overview of the history of amphibian diversification, we constructed a phylogenetic timetree based on a multigene data set of 3.75 kb for 171 species. Our analyses reveal several episodes of accelerated amphibian diversification, which do not fit models of gradual lineage accumulation. Global turning points in the phylogenetic and ecological diversification occurred after the end-Permian mass extinction and in the late Cretaceous. Fluctuations in amphibian diversification show strong temporal correlation with turnover rates in amniotes and the rise of angiosperm-dominated forests. Approximately 86% of modern frog species and &gt;81% of salamander species descended from only five ancestral lineages that produced major radiations in the late Cretaceous and early Tertiary. This proportionally late accumulation of extant lineage diversity contrasts with the long evolutionary history of amphibians but is in line with the Tertiary increase in fossil abundance toward the present.","container-title":"Proceedings of the National Academy of Sciences","DOI":"10.1073/pnas.0608378104","issue":"3","note":"publisher: Proceedings of the National Academy of Sciences","page":"887-892","source":"pnas.org (Atypon)","title":"Global patterns of diversification in the history of modern amphibians","volume":"104","author":[{"family":"Roelants","given":"Kim"},{"family":"Gower","given":"David J."},{"family":"Wilkinson","given":"Mark"},{"family":"Loader","given":"Simon P."},{"family":"Biju","given":"S. D."},{"family":"Guillaume","given":"Karen"},{"family":"Moriau","given":"Linde"},{"family":"Bossuyt","given":"Franky"}],"issued":{"date-parts":[["2007",1,16]]}}},{"id":444,"uris":["http://zotero.org/users/6401767/items/6AWHRHDQ"],"itemData":{"id":444,"type":"article-journal","abstract":"The global emergence and spread of the pathogenic, virulent, and highly transmissible fungus Batrachochytrium dendrobatidis, resulting in the disease chytridiomycosis, has caused the decline or extinction of up to about 200 species of frogs. Key postulates for this theory have been completely or partially fulfilled. In the absence of supportive evidence for alternative theories despite decades of research, it is important for the scientific community and conservation agencies to recognize and manage the threat of chytridiomycosis to remaining species of frogs, especially those that are naive to the pathogen. The impact of chytridiomycosis on frogs is the most spectacular loss of vertebrate biodiversity due to disease in recorded history.","container-title":"EcoHealth","DOI":"10.1007/s10393-007-0093-5","ISSN":"1612-9210","issue":"2","journalAbbreviation":"EcoHealth","language":"en","page":"125-134","source":"Springer Link","title":"Spread of Chytridiomycosis Has Caused the Rapid Global Decline and Extinction of Frogs","volume":"4","author":[{"family":"Skerratt","given":"Lee Francis"},{"family":"Berger","given":"Lee"},{"family":"Speare","given":"Richard"},{"family":"Cashins","given":"Scott"},{"family":"McDonald","given":"Keith Raymond"},{"family":"Phillott","given":"Andrea Dawn"},{"family":"Hines","given":"Harry Bryan"},{"family":"Kenyon","given":"Nicole"}],"issued":{"date-parts":[["2007",6,1]]}}},{"id":439,"uris":["http://zotero.org/users/6401767/items/GV2VRUWK"],"itemData":{"id":439,"type":"article-journal","abstract":"The first global assessment of amphibians provides new context for the well-publicized phenomenon of amphibian declines. Amphibians are more threatened and are declining more rapidly than either birds or mammals. Although many declines are due to habitat loss and overutilization, other, unidentified processes threaten 48% of rapidly declining species and are driving species most quickly to extinction. Declines are nonrandom in terms of species' ecological preferences, geographic ranges, and taxonomic associations and are most prevalent among Neotropical montane, stream-associated species. The lack of conservation remedies for these poorly understood declines means that hundreds of amphibian species now face extinction.","container-title":"Science (New York, N.Y.)","DOI":"10.1126/science.1103538","ISSN":"1095-9203","issue":"5702","journalAbbreviation":"Science","language":"eng","note":"PMID: 15486254","page":"1783-1786","source":"PubMed","title":"Status and trends of amphibian declines and extinctions worldwide","volume":"306","author":[{"family":"Stuart","given":"Simon N."},{"family":"Chanson","given":"Janice S."},{"family":"Cox","given":"Neil A."},{"family":"Young","given":"Bruce E."},{"family":"Rodrigues","given":"Ana S. L."},{"family":"Fischman","given":"Debra L."},{"family":"Waller","given":"Robert W."}],"issued":{"date-parts":[["2004",12,3]]}}}],"schema":"https://github.com/citation-style-language/schema/raw/master/csl-citation.json"}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(Collins, 2010; Lips et al., 2008; Roelants et al., 2007; Skerratt et al., 2007; Stuart et al., 2004)</w:t>
      </w:r>
      <w:r w:rsidRPr="00553649">
        <w:rPr>
          <w:rFonts w:ascii="Times New Roman" w:hAnsi="Times New Roman" w:cs="Times New Roman"/>
        </w:rPr>
        <w:fldChar w:fldCharType="end"/>
      </w:r>
      <w:r w:rsidRPr="00553649">
        <w:rPr>
          <w:rFonts w:ascii="Times New Roman" w:hAnsi="Times New Roman" w:cs="Times New Roman"/>
        </w:rPr>
        <w:t xml:space="preserve">. Of particular concern are the rise and spread of two fungal pathogens, </w:t>
      </w:r>
      <w:r w:rsidRPr="00553649">
        <w:rPr>
          <w:rFonts w:ascii="Times New Roman" w:hAnsi="Times New Roman" w:cs="Times New Roman"/>
          <w:i/>
          <w:iCs/>
        </w:rPr>
        <w:t xml:space="preserve">Batrachochytrium </w:t>
      </w:r>
      <w:proofErr w:type="spellStart"/>
      <w:r w:rsidRPr="00553649">
        <w:rPr>
          <w:rFonts w:ascii="Times New Roman" w:hAnsi="Times New Roman" w:cs="Times New Roman"/>
          <w:i/>
          <w:iCs/>
        </w:rPr>
        <w:t>dendrobatidis</w:t>
      </w:r>
      <w:proofErr w:type="spellEnd"/>
      <w:r w:rsidRPr="00553649">
        <w:rPr>
          <w:rFonts w:ascii="Times New Roman" w:hAnsi="Times New Roman" w:cs="Times New Roman"/>
        </w:rPr>
        <w:t xml:space="preserve"> (Bd) and </w:t>
      </w:r>
      <w:r w:rsidRPr="00553649">
        <w:rPr>
          <w:rFonts w:ascii="Times New Roman" w:hAnsi="Times New Roman" w:cs="Times New Roman"/>
          <w:i/>
          <w:iCs/>
        </w:rPr>
        <w:t xml:space="preserve">Batrachochytrium </w:t>
      </w:r>
      <w:proofErr w:type="spellStart"/>
      <w:r w:rsidRPr="00553649">
        <w:rPr>
          <w:rFonts w:ascii="Times New Roman" w:hAnsi="Times New Roman" w:cs="Times New Roman"/>
          <w:i/>
          <w:iCs/>
        </w:rPr>
        <w:t>salamandrivorans</w:t>
      </w:r>
      <w:proofErr w:type="spellEnd"/>
      <w:r w:rsidRPr="00553649">
        <w:rPr>
          <w:rFonts w:ascii="Times New Roman" w:hAnsi="Times New Roman" w:cs="Times New Roman"/>
          <w:i/>
          <w:iCs/>
        </w:rPr>
        <w:t xml:space="preserve"> </w:t>
      </w:r>
      <w:r w:rsidRPr="00553649">
        <w:rPr>
          <w:rFonts w:ascii="Times New Roman" w:hAnsi="Times New Roman" w:cs="Times New Roman"/>
          <w:iCs/>
        </w:rPr>
        <w:t>(</w:t>
      </w:r>
      <w:proofErr w:type="spellStart"/>
      <w:r w:rsidRPr="00553649">
        <w:rPr>
          <w:rFonts w:ascii="Times New Roman" w:hAnsi="Times New Roman" w:cs="Times New Roman"/>
          <w:iCs/>
        </w:rPr>
        <w:t>Bsal</w:t>
      </w:r>
      <w:proofErr w:type="spellEnd"/>
      <w:r w:rsidRPr="00553649">
        <w:rPr>
          <w:rFonts w:ascii="Times New Roman" w:hAnsi="Times New Roman" w:cs="Times New Roman"/>
          <w:iCs/>
        </w:rPr>
        <w:t>)</w:t>
      </w:r>
      <w:r w:rsidRPr="00553649">
        <w:rPr>
          <w:rFonts w:ascii="Times New Roman" w:hAnsi="Times New Roman" w:cs="Times New Roman"/>
        </w:rPr>
        <w:t xml:space="preserve">, which cause chytridiomycosis in amphibians. These fungi are characterized by motile flagellated spores (zoospores) and inhabit freshwater and moist soils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{"citationID":"oMlQUK0d","properties":{"formattedCitation":"(Rollins-Smith &amp; Le Sage, 2021)","plainCitation":"(Rollins-Smith &amp; Le Sage, 2021)","noteIndex":0},"citationItems":[{"id":437,"uris":["http://zotero.org/users/6401767/items/9N59X26F"],"itemData":{"id":437,"type":"article-journal","abstract":"Amphibian populations around the world have been affected by two pathogenic fungi within the phylum Chytridiomycota. Batrachochytrium dendrobatidis (Bd) has infected hundreds of species and led to widespread declines and some species extinctions. Batrachochytrium salamandrivorans (Bsal) has devastated some native European salamanders, especially the iconic fire salamanders (Salamandra salamandra). Comparative genomic studies show that Bd is more diverse and widespread than previously thought, and global lineages occur together allowing for the development of hybrid lineages. New studies raise the concern of greater pathogenesis if both Bd and Bsal infect the same host. Although amphibians possess robust immune defenses, co-infected and many single-infected hosts seem unable to mount effective immune responses. A strong defense may actually be harmful. Analysis of Bd and Bsal secretions documents small metabolites that signal high density to limit their growth and to suppress adaptive immune defenses, thus enabling a stealth presence in the skin compartment.","container-title":"Current Opinion in Microbiology","DOI":"10.1016/j.mib.2021.04.002","ISSN":"1369-5274","journalAbbreviation":"Current Opinion in Microbiology","language":"en","page":"124-132","source":"ScienceDirect","title":"Batrachochytrium fungi: stealth invaders in amphibian skin","title-short":"Batrachochytrium fungi","volume":"61","author":[{"family":"Rollins-Smith","given":"Louise A."},{"family":"Le Sage","given":"Emily H."}],"issued":{"date-parts":[["2021",6,1]]}}}],"schema":"https://github.com/citation-style-language/schema/raw/master/csl-citation.json"}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(Rollins-Smith &amp; Le Sage, 2021)</w:t>
      </w:r>
      <w:r w:rsidRPr="00553649">
        <w:rPr>
          <w:rFonts w:ascii="Times New Roman" w:hAnsi="Times New Roman" w:cs="Times New Roman"/>
        </w:rPr>
        <w:fldChar w:fldCharType="end"/>
      </w:r>
      <w:r w:rsidRPr="00553649">
        <w:rPr>
          <w:rFonts w:ascii="Times New Roman" w:hAnsi="Times New Roman" w:cs="Times New Roman"/>
        </w:rPr>
        <w:t xml:space="preserve">. </w:t>
      </w:r>
      <w:r w:rsidR="00C1539C" w:rsidRPr="00553649">
        <w:rPr>
          <w:rFonts w:ascii="Times New Roman" w:hAnsi="Times New Roman" w:cs="Times New Roman"/>
        </w:rPr>
        <w:t xml:space="preserve">These zoospores have the propensity to spread quickly through amphibian communities since many amphibians congregate in wetlands for reproduction. </w:t>
      </w:r>
      <w:r w:rsidRPr="00553649">
        <w:rPr>
          <w:rFonts w:ascii="Times New Roman" w:hAnsi="Times New Roman" w:cs="Times New Roman"/>
        </w:rPr>
        <w:t xml:space="preserve">When colonizing amphibian skin, zoospores encyst by absorbing the flagellum and developing a cell wall before germ tube develops and the mature sporangium discharges motile zoospores that penetrate the </w:t>
      </w:r>
      <w:r w:rsidRPr="00553649">
        <w:rPr>
          <w:rFonts w:ascii="Times New Roman" w:hAnsi="Times New Roman" w:cs="Times New Roman"/>
          <w:i/>
          <w:iCs/>
        </w:rPr>
        <w:t>stratum corneum</w:t>
      </w:r>
      <w:r w:rsidRPr="00553649">
        <w:rPr>
          <w:rFonts w:ascii="Times New Roman" w:hAnsi="Times New Roman" w:cs="Times New Roman"/>
        </w:rPr>
        <w:t xml:space="preserve"> and </w:t>
      </w:r>
      <w:r w:rsidRPr="00553649">
        <w:rPr>
          <w:rFonts w:ascii="Times New Roman" w:hAnsi="Times New Roman" w:cs="Times New Roman"/>
          <w:i/>
          <w:iCs/>
        </w:rPr>
        <w:t xml:space="preserve">stratum granulosum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{"citationID":"E8zAanXX","properties":{"formattedCitation":"(Van Rooij et al., 2015)","plainCitation":"(Van Rooij et al., 2015)","noteIndex":0},"citationItems":[{"id":"aW8cvW4I/mecgXid7","uris":["http://zotero.org/users/6401767/items/ETCR2KKV"],"itemData":{"id":126,"type":"article-journal","abstract":"Amphibian declines and extinctions are emblematic for the current sixth mass extinction event. Infectious drivers of these declines include the recently emerged fungal pathogens Batrachochytrium dendrobatidis and Batrachochytrium salamandrivorans (Chytridiomycota). The skin disease caused by these fungi is named chytridiomycosis and affects the vital function of amphibian skin. Not all amphibians respond equally to infection and host responses might range from resistant, over tolerant to susceptible. The clinical outcome of infection is highly dependent on the amphibian host, the fungal virulence and environmental determinants. B. dendrobatidis infects the skin of a large range of anurans, urodeles and caecilians, whereas to date the host range of B. salamandrivorans seems limited to urodeles. So far, the epidemic of B. dendrobatidis is mainly limited to Australian, neotropical, South European and West American amphibians, while for B. salamandrivorans it is limited to European salamanders. Other striking differences between both fungi include gross pathology and thermal preferences. With this review we aim to provide the reader with a state-of-the art of host-pathogen interactions for both fungi, in which new data pertaining to the interaction of B. dendrobatidis and B. salamandrivorans with the host’s skin are integrated. Furthermore, we pinpoint areas in which more detailed studies are necessary or which have not received the attention they merit.","container-title":"Veterinary Research","DOI":"10.1186/s13567-015-0266-0","ISSN":"0928-4249","journalAbbreviation":"Vet Res","note":"PMID: 26607488\nPMCID: PMC4660679","source":"PubMed Central","title":"Amphibian chytridiomycosis: a review with focus on fungus-host interactions","title-short":"Amphibian chytridiomycosis","URL":"https://www.ncbi.nlm.nih.gov/pmc/articles/PMC4660679/","volume":"46","author":[{"family":"Van Rooij","given":"Pascale"},{"family":"Martel","given":"An"},{"family":"Haesebrouck","given":"Freddy"},{"family":"Pasmans","given":"Frank"}],"accessed":{"date-parts":[["2020",7,20]]},"issued":{"date-parts":[["2015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(Van Rooij et al., 2015)</w:t>
      </w:r>
      <w:r w:rsidRPr="00553649">
        <w:rPr>
          <w:rFonts w:ascii="Times New Roman" w:hAnsi="Times New Roman" w:cs="Times New Roman"/>
        </w:rPr>
        <w:fldChar w:fldCharType="end"/>
      </w:r>
      <w:r w:rsidRPr="00553649">
        <w:rPr>
          <w:rFonts w:ascii="Times New Roman" w:hAnsi="Times New Roman" w:cs="Times New Roman"/>
        </w:rPr>
        <w:t xml:space="preserve">. Protease and lipase secretions of Bd degrade skin integrity, disrupt physiological homeostasis, and decrease the expression of host genes for skin maintenance, oftentimes resulting in </w:t>
      </w:r>
      <w:r w:rsidR="00B243E0">
        <w:rPr>
          <w:rFonts w:ascii="Times New Roman" w:hAnsi="Times New Roman" w:cs="Times New Roman"/>
        </w:rPr>
        <w:t xml:space="preserve">death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{"citationID":"PjLW19Fr","properties":{"formattedCitation":"(Abramyan &amp; Stajich, 2012)","plainCitation":"(Abramyan &amp; Stajich, 2012)","noteIndex":0},"citationItems":[{"id":418,"uris":["http://zotero.org/users/6401767/items/6UKVF3R6"],"itemData":{"id":418,"type":"article-journal","abstract":"Batrachochytrium dendrobatidis is the causative agent of chytridiomycosis, which is considered one of the driving forces behind the worldwide decline in populations of amphibians. As a member of the phylum Chytridiomycota, B. dendrobatidis has diverged significantly to emerge as the only pathogen of adult vertebrates. Such shifts in lifestyle are generally accompanied by various degrees of genomic modifications, yet neither its mode of pathogenicity nor any factors associated with it have ever been identified. Presented here is the identification and characterization of a unique expansion of the carbohydrate-binding module family 18 (CBM18), specific to B. dendrobatidis. CBM (chitin-binding module) expansions have been likened to the evolution of pathogenicity in a variety of fungus species, making this expanded group a prime candidate for the identification of potential pathogenicity factors. Furthermore, the CBM18 expansions are confined to three categories of genes, each having been previously implicated in host-pathogen interactions. These correlations highlight this specific domain expansion as a potential key player in the mode of pathogenicity in this unique fungus. The expansion of CBM18 in B. dendrobatidis is exceptional in its size and diversity compared to other pathogenic species of fungi, making this genomic feature unique in an evolutionary context as well as in pathogenicity.\nIMPORTANCE: Amphibian populations are declining worldwide at an unprecedented rate. Although various factors are thought to contribute to this phenomenon, chytridiomycosis has been identified as one of the leading causes. This deadly fungal disease is cause by Batrachochytrium dendrobatidis, a chytrid fungus species unique in its pathogenicity and, furthermore, its specificity to amphibians. Despite more than two decades of research, the biology of this fungus species and its deadly interaction with amphibians had been notoriously difficult to unravel. Due to the alarming rate of worldwide spread and associated decline in amphibian populations, it is imperative to incorporate novel genomic and genetic techniques into the study of this species. In this study, we present the first reported potential pathogenicity factors in B. dendrobatidis. In silico studies such as this allow us to identify putative targets for more specific molecular analyses, furthering our hope for the control of this pathogen.","container-title":"mBio","DOI":"10.1128/mBio.00150-12","ISSN":"2150-7511","issue":"3","journalAbbreviation":"mBio","language":"eng","note":"PMID: 22718849\nPMCID: PMC3569864","page":"e00150-00112","source":"PubMed","title":"Species-specific chitin-binding module 18 expansion in the amphibian pathogen Batrachochytrium dendrobatidis","volume":"3","author":[{"family":"Abramyan","given":"John"},{"family":"Stajich","given":"Jason E."}],"issued":{"date-parts":[["2012"]]}}}],"schema":"https://github.com/citation-style-language/schema/raw/master/csl-citation.json"}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(Abramyan &amp; Stajich, 2012)</w:t>
      </w:r>
      <w:r w:rsidRPr="00553649">
        <w:rPr>
          <w:rFonts w:ascii="Times New Roman" w:hAnsi="Times New Roman" w:cs="Times New Roman"/>
        </w:rPr>
        <w:fldChar w:fldCharType="end"/>
      </w:r>
      <w:r w:rsidRPr="00553649">
        <w:rPr>
          <w:rFonts w:ascii="Times New Roman" w:hAnsi="Times New Roman" w:cs="Times New Roman"/>
        </w:rPr>
        <w:t xml:space="preserve">. </w:t>
      </w:r>
    </w:p>
    <w:p w14:paraId="37B896E2" w14:textId="59965D12" w:rsidR="007C7BE3" w:rsidRPr="00553649" w:rsidRDefault="007C7BE3" w:rsidP="007C7BE3">
      <w:pPr>
        <w:spacing w:line="360" w:lineRule="auto"/>
        <w:ind w:firstLine="720"/>
        <w:rPr>
          <w:rFonts w:ascii="Times New Roman" w:hAnsi="Times New Roman" w:cs="Times New Roman"/>
        </w:rPr>
      </w:pPr>
      <w:r w:rsidRPr="00553649">
        <w:rPr>
          <w:rFonts w:ascii="Times New Roman" w:hAnsi="Times New Roman" w:cs="Times New Roman"/>
        </w:rPr>
        <w:t xml:space="preserve">While Bd has been highly lethal to anurans, declines in North American plethodontid salamanders attributed to Bd have been less severe. Documented declines of plethodontid salamanders in Southern Appalachia were observed since the 1980s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{"citationID":"B4kP8Zkc","properties":{"formattedCitation":"(Highton, 2005)","plainCitation":"(Highton, 2005)","noteIndex":0},"citationItems":[{"id":403,"uris":["http://zotero.org/users/6401767/items/2YCT3GX7"],"itemData":{"id":403,"type":"article-journal","abstract":"Recent declines and extinctions of amphibian populations have been reported in many areas of the world. A majority of the documented declines are in easily detectable anuran species, including flatwoods salamanders (Ambystoma cingulatum), southern dusky salamanders (Desmognathus auriculatus), and green salamanders (Aneides aeneus. However, other published reports indicate little change in eastern salamander populations. Since 1951, the author has done a great deal of fieldwork in eastern North America in the course of studies on the life histories, systematics, population genetics, and molecular evolution of the plethodontid genus Plethodon — the largest genus of salamanders in the United States (fifty-three presently recognized species). His findings indicate widespread declines in eastern North American populations of woodland salamanders in the region. The cause(s) of these population declines is (are) unknown, except that extensive habitat destruction by logging occurred at sixteen sites (twenty-two populations); but this accounts for only a small proportion of the observed declines.","container-title":"Amphibian Declines: The Conservation Status of United States Species","DOI":"10.1525/california/9780520235922.003.0008","ISSN":"9780520235922","journalAbbreviation":"Amphibian Declines: The Conservation Status of United States Species","page":"34-46","source":"ResearchGate","title":"Declines of Eastern North American Woodland Salamanders (Plethodon)","author":[{"family":"Highton","given":"Richard"}],"issued":{"date-parts":[["2005",6,15]]}}}],"schema":"https://github.com/citation-style-language/schema/raw/master/csl-citation.json"}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(Highton, 2005)</w:t>
      </w:r>
      <w:r w:rsidRPr="00553649">
        <w:rPr>
          <w:rFonts w:ascii="Times New Roman" w:hAnsi="Times New Roman" w:cs="Times New Roman"/>
        </w:rPr>
        <w:fldChar w:fldCharType="end"/>
      </w:r>
      <w:r w:rsidRPr="00553649">
        <w:rPr>
          <w:rFonts w:ascii="Times New Roman" w:hAnsi="Times New Roman" w:cs="Times New Roman"/>
        </w:rPr>
        <w:t xml:space="preserve">, but these declines seem unattributed to fungal pathogens, despite Bd being present in North America during this time </w:t>
      </w:r>
      <w:r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{"citationID":"Tba9GWGW","properties":{"formattedCitation":"(Muletz et al., 2014)","plainCitation":"(Muletz et al., 2014)","noteIndex":0},"citationItems":[{"id":423,"uris":["http://zotero.org/users/6401767/items/3UXJ2WYL"],"itemData":{"id":423,"type":"article-journal","abstract":"Widespread population declines in terrestrial Plethodon salamanders occurred by the 1980s throughout the Appalachian Mountains, the center of global salamander diversity, with no evident recovery. We tested the hypothesis that the historic introduction and spread of the pathogenic fungus Batrachochytrium dendrobatidis (Bd) into the eastern US was followed by Plethodon population declines. We expected to detect elevated prevalence of Bd prior to population declines as observed for Central American plethodontids. We tested 1,498 Plethodon salamanders of 12 species (892 museum specimens, 606 wild individuals) for the presence of Bd, and tested 94 of those for Batrachochytrium salamandrivorans (Bs) and for ranavirus. Field samples were collected in 2011 from 48 field sites across a 767 km transect. Historic samples from museum specimens were collected at five sites with the greatest number and longest duration of collection (1957–987), four of which were sampled in the field in 2011. None of the museum specimens were positive for Bd, but four P. cinereus from field surveys were positive. The overall Bd prevalence from 1957–2011 for 12 Plethodon species sampled across a 757 km transect was 0.2% (95% CI 0.1–0.7%). All 94 samples were negative for Bs and ranavirus. We conclude that known amphibian pathogens are unlikely causes for declines in these Plethodon populations. Furthermore, these exceptionally low levels of Bd, in a region known to harbor Bd, may indicate that Plethodon specific traits limit Bd infection.","container-title":"PLOS ONE","DOI":"10.1371/journal.pone.0103728","ISSN":"1932-6203","issue":"8","journalAbbreviation":"PLOS ONE","language":"en","note":"publisher: Public Library of Science","page":"e103728","source":"PLoS Journals","title":"Unexpected Rarity of the Pathogen Batrachochytrium dendrobatidis in Appalachian Plethodon Salamanders: 1957–2011","title-short":"Unexpected Rarity of the Pathogen Batrachochytrium dendrobatidis in Appalachian Plethodon Salamanders","volume":"9","author":[{"family":"Muletz","given":"Carly R."},{"family":"Caruso","given":"Nicholas M."},{"family":"Fleischer","given":"Robert C."},{"family":"McDiarmid","given":"Roy W."},{"family":"Lips","given":"Karen R."}],"issued":{"date-parts":[["2014",8,1]]}}}],"schema":"https://github.com/citation-style-language/schema/raw/master/csl-citation.json"} </w:instrText>
      </w:r>
      <w:r w:rsidRPr="00553649">
        <w:rPr>
          <w:rFonts w:ascii="Times New Roman" w:hAnsi="Times New Roman" w:cs="Times New Roman"/>
        </w:rPr>
        <w:fldChar w:fldCharType="separate"/>
      </w:r>
      <w:r w:rsidR="00CB244F">
        <w:rPr>
          <w:rFonts w:ascii="Times New Roman" w:hAnsi="Times New Roman" w:cs="Times New Roman"/>
          <w:noProof/>
        </w:rPr>
        <w:t>(Muletz et al., 2014)</w:t>
      </w:r>
      <w:r w:rsidRPr="00553649">
        <w:rPr>
          <w:rFonts w:ascii="Times New Roman" w:hAnsi="Times New Roman" w:cs="Times New Roman"/>
        </w:rPr>
        <w:fldChar w:fldCharType="end"/>
      </w:r>
      <w:r w:rsidRPr="00553649">
        <w:rPr>
          <w:rFonts w:ascii="Times New Roman" w:hAnsi="Times New Roman" w:cs="Times New Roman"/>
        </w:rPr>
        <w:t xml:space="preserve">. Field surveys for Bd on </w:t>
      </w:r>
      <w:proofErr w:type="spellStart"/>
      <w:r w:rsidRPr="00553649">
        <w:rPr>
          <w:rFonts w:ascii="Times New Roman" w:hAnsi="Times New Roman" w:cs="Times New Roman"/>
          <w:i/>
          <w:iCs/>
        </w:rPr>
        <w:t>Plethodon</w:t>
      </w:r>
      <w:proofErr w:type="spellEnd"/>
      <w:r w:rsidRPr="00553649">
        <w:rPr>
          <w:rFonts w:ascii="Times New Roman" w:hAnsi="Times New Roman" w:cs="Times New Roman"/>
        </w:rPr>
        <w:t xml:space="preserve"> salamanders have only found 19 positive cases </w:t>
      </w:r>
      <w:r w:rsidR="00B243E0">
        <w:rPr>
          <w:rFonts w:ascii="Times New Roman" w:hAnsi="Times New Roman" w:cs="Times New Roman"/>
        </w:rPr>
        <w:t>in</w:t>
      </w:r>
      <w:r w:rsidRPr="00553649">
        <w:rPr>
          <w:rFonts w:ascii="Times New Roman" w:hAnsi="Times New Roman" w:cs="Times New Roman"/>
        </w:rPr>
        <w:t xml:space="preserve"> over 2,000 individuals sampled spanning 12 species </w:t>
      </w:r>
      <w:r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{"citationID":"LjAUoz7u","properties":{"formattedCitation":"(Muletz et al., 2014)","plainCitation":"(Muletz et al., 2014)","noteIndex":0},"citationItems":[{"id":423,"uris":["http://zotero.org/users/6401767/items/3UXJ2WYL"],"itemData":{"id":423,"type":"article-journal","abstract":"Widespread population declines in terrestrial Plethodon salamanders occurred by the 1980s throughout the Appalachian Mountains, the center of global salamander diversity, with no evident recovery. We tested the hypothesis that the historic introduction and spread of the pathogenic fungus Batrachochytrium dendrobatidis (Bd) into the eastern US was followed by Plethodon population declines. We expected to detect elevated prevalence of Bd prior to population declines as observed for Central American plethodontids. We tested 1,498 Plethodon salamanders of 12 species (892 museum specimens, 606 wild individuals) for the presence of Bd, and tested 94 of those for Batrachochytrium salamandrivorans (Bs) and for ranavirus. Field samples were collected in 2011 from 48 field sites across a 767 km transect. Historic samples from museum specimens were collected at five sites with the greatest number and longest duration of collection (1957–987), four of which were sampled in the field in 2011. None of the museum specimens were positive for Bd, but four P. cinereus from field surveys were positive. The overall Bd prevalence from 1957–2011 for 12 Plethodon species sampled across a 757 km transect was 0.2% (95% CI 0.1–0.7%). All 94 samples were negative for Bs and ranavirus. We conclude that known amphibian pathogens are unlikely causes for declines in these Plethodon populations. Furthermore, these exceptionally low levels of Bd, in a region known to harbor Bd, may indicate that Plethodon specific traits limit Bd infection.","container-title":"PLOS ONE","DOI":"10.1371/journal.pone.0103728","ISSN":"1932-6203","issue":"8","journalAbbreviation":"PLOS ONE","language":"en","note":"publisher: Public Library of Science","page":"e103728","source":"PLoS Journals","title":"Unexpected Rarity of the Pathogen Batrachochytrium dendrobatidis in Appalachian Plethodon Salamanders: 1957–2011","title-short":"Unexpected Rarity of the Pathogen Batrachochytrium dendrobatidis in Appalachian Plethodon Salamanders","volume":"9","author":[{"family":"Muletz","given":"Carly R."},{"family":"Caruso","given":"Nicholas M."},{"family":"Fleischer","given":"Robert C."},{"family":"McDiarmid","given":"Roy W."},{"family":"Lips","given":"Karen R."}],"issued":{"date-parts":[["2014",8,1]]}}}],"schema":"https://github.com/citation-style-language/schema/raw/master/csl-citation.json"} </w:instrText>
      </w:r>
      <w:r w:rsidRPr="00553649">
        <w:rPr>
          <w:rFonts w:ascii="Times New Roman" w:hAnsi="Times New Roman" w:cs="Times New Roman"/>
        </w:rPr>
        <w:fldChar w:fldCharType="separate"/>
      </w:r>
      <w:r w:rsidR="00CB244F">
        <w:rPr>
          <w:rFonts w:ascii="Times New Roman" w:hAnsi="Times New Roman" w:cs="Times New Roman"/>
          <w:noProof/>
        </w:rPr>
        <w:t>(Muletz et al., 2014)</w:t>
      </w:r>
      <w:r w:rsidRPr="00553649">
        <w:rPr>
          <w:rFonts w:ascii="Times New Roman" w:hAnsi="Times New Roman" w:cs="Times New Roman"/>
        </w:rPr>
        <w:fldChar w:fldCharType="end"/>
      </w:r>
      <w:r w:rsidRPr="00553649">
        <w:rPr>
          <w:rFonts w:ascii="Times New Roman" w:hAnsi="Times New Roman" w:cs="Times New Roman"/>
        </w:rPr>
        <w:t>. Of 976 samples of non-</w:t>
      </w:r>
      <w:proofErr w:type="spellStart"/>
      <w:r w:rsidRPr="00553649">
        <w:rPr>
          <w:rFonts w:ascii="Times New Roman" w:hAnsi="Times New Roman" w:cs="Times New Roman"/>
          <w:i/>
          <w:iCs/>
        </w:rPr>
        <w:t>Plethodon</w:t>
      </w:r>
      <w:proofErr w:type="spellEnd"/>
      <w:r w:rsidRPr="00553649">
        <w:rPr>
          <w:rFonts w:ascii="Times New Roman" w:hAnsi="Times New Roman" w:cs="Times New Roman"/>
        </w:rPr>
        <w:t xml:space="preserve"> plethodontid species occurring in Southern Appalachia, only 49 individuals sampled in the field tested positive for Bd (</w:t>
      </w:r>
      <w:proofErr w:type="spellStart"/>
      <w:r w:rsidRPr="00553649">
        <w:rPr>
          <w:rFonts w:ascii="Times New Roman" w:hAnsi="Times New Roman" w:cs="Times New Roman"/>
          <w:i/>
          <w:iCs/>
        </w:rPr>
        <w:t>Desmognathus</w:t>
      </w:r>
      <w:proofErr w:type="spellEnd"/>
      <w:r w:rsidRPr="00553649">
        <w:rPr>
          <w:rFonts w:ascii="Times New Roman" w:hAnsi="Times New Roman" w:cs="Times New Roman"/>
        </w:rPr>
        <w:t xml:space="preserve">: 17/664, </w:t>
      </w:r>
      <w:r w:rsidRPr="00553649">
        <w:rPr>
          <w:rFonts w:ascii="Times New Roman" w:hAnsi="Times New Roman" w:cs="Times New Roman"/>
          <w:i/>
          <w:iCs/>
        </w:rPr>
        <w:t>Eurycea</w:t>
      </w:r>
      <w:r w:rsidRPr="00553649">
        <w:rPr>
          <w:rFonts w:ascii="Times New Roman" w:hAnsi="Times New Roman" w:cs="Times New Roman"/>
        </w:rPr>
        <w:t xml:space="preserve">: </w:t>
      </w:r>
      <w:r w:rsidRPr="00553649">
        <w:rPr>
          <w:rFonts w:ascii="Times New Roman" w:hAnsi="Times New Roman" w:cs="Times New Roman"/>
        </w:rPr>
        <w:lastRenderedPageBreak/>
        <w:t xml:space="preserve">25/232, </w:t>
      </w:r>
      <w:proofErr w:type="spellStart"/>
      <w:r w:rsidRPr="00553649">
        <w:rPr>
          <w:rFonts w:ascii="Times New Roman" w:hAnsi="Times New Roman" w:cs="Times New Roman"/>
          <w:i/>
          <w:iCs/>
        </w:rPr>
        <w:t>Aneides</w:t>
      </w:r>
      <w:proofErr w:type="spellEnd"/>
      <w:r w:rsidRPr="00553649">
        <w:rPr>
          <w:rFonts w:ascii="Times New Roman" w:hAnsi="Times New Roman" w:cs="Times New Roman"/>
        </w:rPr>
        <w:t xml:space="preserve">: 6/41, </w:t>
      </w:r>
      <w:proofErr w:type="spellStart"/>
      <w:r w:rsidRPr="00553649">
        <w:rPr>
          <w:rFonts w:ascii="Times New Roman" w:hAnsi="Times New Roman" w:cs="Times New Roman"/>
          <w:i/>
          <w:iCs/>
        </w:rPr>
        <w:t>Pseudotriton</w:t>
      </w:r>
      <w:proofErr w:type="spellEnd"/>
      <w:r w:rsidRPr="00553649">
        <w:rPr>
          <w:rFonts w:ascii="Times New Roman" w:hAnsi="Times New Roman" w:cs="Times New Roman"/>
        </w:rPr>
        <w:t xml:space="preserve">: 1/9, </w:t>
      </w:r>
      <w:proofErr w:type="spellStart"/>
      <w:r w:rsidRPr="00553649">
        <w:rPr>
          <w:rFonts w:ascii="Times New Roman" w:hAnsi="Times New Roman" w:cs="Times New Roman"/>
          <w:i/>
          <w:iCs/>
        </w:rPr>
        <w:t>Gyrinophilus</w:t>
      </w:r>
      <w:proofErr w:type="spellEnd"/>
      <w:r w:rsidRPr="00553649">
        <w:rPr>
          <w:rFonts w:ascii="Times New Roman" w:hAnsi="Times New Roman" w:cs="Times New Roman"/>
        </w:rPr>
        <w:t xml:space="preserve">: 0/30)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{"citationID":"E4f0RJFQ","properties":{"formattedCitation":"(Augustine &amp; Neff, 2016; Blackburn et al., 2015; Chinnadurai et al., 2009; Gratwicke et al., 2011; Hossack et al., 2010; Jongsma et al., 2019; Spaulding et al., 2018)","plainCitation":"(Augustine &amp; Neff, 2016; Blackburn et al., 2015; Chinnadurai et al., 2009; Gratwicke et al., 2011; Hossack et al., 2010; Jongsma et al., 2019; Spaulding et al., 2018)","noteIndex":0},"citationItems":[{"id":427,"uris":["http://zotero.org/users/6401767/items/PQGRMEFG"],"itemData":{"id":427,"type":"article-journal","container-title":"Catesbeiana","issue":"1","title":"Determining the prevalence of Amphibian Chytrid Fungus (Batrachochytrium dendrobatidis) and Ranavirus at Long Branch Nature Center in Arlington, Virginia","URL":"http://ww.virginiaherpetologicalsociety.com/catesbeiana-pdf/cat36n1/v36n1-Determining_the_prevalence_of_Amphibian_Chytrid_Fungus_and_Ranavirus_at_Long_Branch_Nature_Center_in_Arlington_Virginia.pdf","volume":"36","author":[{"family":"Augustine","given":"Lauren"},{"family":"Neff","given":"Matthew"}],"accessed":{"date-parts":[["2023",6,17]]},"issued":{"date-parts":[["2016"]]}}},{"id":429,"uris":["http://zotero.org/users/6401767/items/48G9V5QR"],"itemData":{"id":429,"type":"article-journal","container-title":"Herpetological Review","journalAbbreviation":"Herpetological Review","page":"357-361","source":"ResearchGate","title":"First Report of Ranavirus and Batrachochytrium dendrobatidis in Green Salamanders (Aneides aeneus) from Virginia, USA.","volume":"46","author":[{"family":"Blackburn","given":"Melissa"},{"family":"Wayland","given":"Jack"},{"family":"Smith","given":"Walter"},{"family":"McKenna","given":"Joseph"},{"family":"Harry","given":"Matthew"},{"family":"Hamed","given":"Michael"},{"family":"Gray","given":"Matthew"},{"family":"Miller","given":"Debra"}],"issued":{"date-parts":[["2015",9,23]]}}},{"id":425,"uris":["http://zotero.org/users/6401767/items/FZLNYFFB"],"itemData":{"id":425,"type":"article-journal","abstract":"Chytridiomycosis is an often fatal fungal disease of amphibians caused by Batrachochytrium dendrobatidis. This disease has been implicated in the worldwide decline of many anuran species, but studies of chytridiomycosis in wild salamanders are limited. Between August 2006 and December 2006, we tested wild amphibians in North Carolina, USA (n5212) by polymerase chain reaction (PCR). We identified three PCR-positive animals: one Rana clamitans and two Plethodontid salamanders. We experimentally infected two species of native North Carolina Plethodontid salamanders, the slimy salamander (Plethodon glutinosus) and the Blue Ridge Mountain dusky salamander (Desmognathus orestes) with 1,000,000 zoospores of B. dendrobatidis per animal. Susceptibility was species dependent; all slimy salamanders developed clinical signs of chytridiomycosis, and one died, whereas dusky salamanders remained unaffected. In a second experiment, we challenged na¨ıve slimy salamanders with either 10,000 or 100,000 motile zoospores per animal. Clinical signs consistent with chytridiomycosis were not observed at either dose or in uninfected controls during the 45 days of this experiment. All animals inoculated with B. dendrobatidis in both experiments, regardless of dose, tested positive by PCR. Our study indicates that slimy salamanders are more susceptible to clinical chytridiomycosis than dusky salamanders, and in a laboratory setting, a dose greater than 100,000 zoospores per animal is required to induce clinical disease. This study also indicates that PCR is a very sensitive tool for detecting B. dendrobatidis infection, even in animals that are clinically unaffected, thus positive results should be interpreted with caution.","container-title":"Journal of Wildlife Diseases","DOI":"10.7589/0090-3558-45.3.631","ISSN":"0090-3558","issue":"3","journalAbbreviation":"Journal of Wildlife Diseases","language":"en","page":"631-636","source":"DOI.org (Crossref)","title":"EXPERIMENTAL INFECTION OF NATIVE NORTH CAROLINA SALAMANDERS WITH BATRACHOCHYTRIUM DENDROBATIDIS","volume":"45","author":[{"family":"Chinnadurai","given":"Sathya K."},{"family":"Cooper","given":"David"},{"family":"Dombrowski","given":"Daniel S."},{"family":"Poore","given":"Matthew F."},{"family":"Levy","given":"Michael G."}],"issued":{"date-parts":[["2009",7]]}}},{"id":430,"uris":["http://zotero.org/users/6401767/items/6TYIPAUN"],"itemData":{"id":430,"type":"article-journal","container-title":"Herpetological Review","issue":"2","language":"en","page":"217-219","source":"Zotero","title":"Low Prevalence of Batrachochytrium dendrobatidis Detected in Appalachian Salamanders from Warren County, Virginia, USA","volume":"42","author":[{"family":"Gratwicke","given":"B"},{"family":"Evans","given":"M"},{"family":"Grant","given":"E H CAMPBELL"},{"family":"Greathouse","given":"J"}],"issued":{"date-parts":[["2011"]]}}},{"id":431,"uris":["http://zotero.org/users/6401767/items/AH3F4BJ3"],"itemData":{"id":431,"type":"article-journal","abstract":"Many declines of amphibian populations have been associated with chytridiomycosis, a disease caused by the aquatic fungus Batrachochytrium dendrobatidis (Bd). Despite the relatively high prevalence of chytridiomycosis in stream amphibians globally, most surveys in North America have focused primarily on wetland-associated species, which are frequently infected. To better understand the distribution and prevalence of Bd in headwater amphibian communities, we sampled 452 tailed frogs (Ascaphus truei and Ascaphus tnontanus) and 304 stream salamanders (seven species in the Dicamptodontidae and Plethodontidae) for Bd in 38, first-to third-order streams in five montane areas across the United States. We tested for presence of Bd by using PCR on skin swabs from salamanders and metamorphosed tailed frogs or the oral disc of frog larvae. We detected Bd on only seven individuals (0.93%) in four streams. Based on our study and results from five other studies that have sampled headwater-or seep-associated amphibians in the United States, Bd has been detected on only 3% of 1,322 individuals from 21 species. These results differ strongly from surveys in Central America and Australia, where Bd is more prevalent on stream-breeding species, as well as results from wetland-associated anurans in the same regions of the United States that we sampled. Differences in the prevalence of Bd between stream-and wetland-associated amphibians in the United States may be related to species-specific variation in susceptibility to chytridiomycosis or habitat differences.","container-title":"Journal of Herpetology","ISSN":"0022-1511","issue":"2","note":"publisher: Society for the Study of Amphibians and Reptiles","page":"253-260","source":"JSTOR","title":"Low Prevalence of Chytrid Fungus (Batrachochytrium dendrobatidis) in Amphibians of U.S. Headwater Streams","volume":"44","author":[{"family":"Hossack","given":"Blake R."},{"family":"Adams","given":"Michael J."},{"family":"Grant","given":"Evan H. Campbell"},{"family":"Pearl","given":"Christopher A."},{"family":"Bettaso","given":"James B."},{"family":"Barichivich","given":"William J."},{"family":"Lowe","given":"Winsor H."},{"family":"True","given":"Kimberly"},{"family":"Ware","given":"Joy L."},{"family":"Corn","given":"Paul Stephen"}],"issued":{"date-parts":[["2010"]]}}},{"id":432,"uris":["http://zotero.org/users/6401767/items/J95NUCKV"],"itemData":{"id":432,"type":"article-journal","abstract":"Amphibian fungal diseases have been implicated in a number of extinctions and declines worldwide. To establish the presence/absence of the amphibian pathogen Batrachochytrium dendrobatidis (Bd) on conservation lands in northern and south-central New Brunswick, Canada, we sampled eight species of anurans and six species of caudate amphibians (n = 390). Six species, including Rana catesbieana (American Bullfrog), R. clamitans (Green Frog), R. sylvatica (Wood Frog), Desmognathus fuscus (Northern Dusky Salamander), Plethodon cinereus (Eastern Red-backed Salamander) and Notopthalmus viridescens (Eastern Newt) tested positive for Bd. Prevalence for Bd in New Brunswick amphibians was low overall (4.6%) relative to those reported from surrounding states and provinces; however, two plethodontid salamanders, D. fuscus and P. cinereus, had the highest Bd prevalence among any of the amphibians sampled (9.1% and 12.9% respectively). In contrast, other studies have generally found plethodontids to have Bd prevalence of ≤ 2%. This survey for Bd, while not comprehensive, can serve as baseline and help direct future research in the province of New Brunswick.","container-title":"Herpetological Conservation and Biology","journalAbbreviation":"Herpetological Conservation and Biology","page":"91-96","source":"ResearchGate","title":"High prevalence of the amphibian pathogen Batrachochytrium dendrobatidis in plethodontid salamanders in protected areas in New Brunswick, Canada","volume":"14","author":[{"family":"Jongsma","given":"Gregory"},{"family":"Empey","given":"Madelaine"},{"family":"Smith","given":"Caleigh"},{"family":"Bennett","given":"Amanda"},{"family":"McAlpine","given":"Donald"}],"issued":{"date-parts":[["2019",4,30]]}}},{"id":428,"uris":["http://zotero.org/users/6401767/items/HADUVZKJ"],"itemData":{"id":428,"type":"article-journal","container-title":"Herpetological Review","issue":"2","page":"258-262","title":"Low-level Batrachochytrium dendrobatidis Detection Persists in Plethodontid Salamanders Following Timber Harvest in Kentucky, USA","volume":"49","author":[{"family":"Spaulding","given":"Sarah H."},{"family":"Cox","given":"John J."},{"family":"Maigret","given":"Thomas A."},{"family":"Drayer","given":"Andrea N."},{"family":"Richards","given":"Jessica M."},{"family":"Treanor","given":"John"}],"issued":{"date-parts":[["2018"]]}}}],"schema":"https://github.com/citation-style-language/schema/raw/master/csl-citation.json"}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(Augustine &amp; Neff, 2016; Blackburn et al., 2015; Chinnadurai et al., 2009; Gratwicke et al., 2011; Hossack et al., 2010; Jongsma et al., 2019; Spaulding et al., 2018)</w:t>
      </w:r>
      <w:r w:rsidRPr="00553649">
        <w:rPr>
          <w:rFonts w:ascii="Times New Roman" w:hAnsi="Times New Roman" w:cs="Times New Roman"/>
        </w:rPr>
        <w:fldChar w:fldCharType="end"/>
      </w:r>
      <w:r w:rsidRPr="00553649">
        <w:rPr>
          <w:rFonts w:ascii="Times New Roman" w:hAnsi="Times New Roman" w:cs="Times New Roman"/>
        </w:rPr>
        <w:t xml:space="preserve">. Susceptibility assays in the lab have shown Plethodontids are still susceptible to Bd and resulting chytridiomycosis, but susceptibility is lower than other amphibian clades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{"citationID":"Q2jzV2l1","properties":{"formattedCitation":"(Chinnadurai et al., 2009; Vazquez et al., 2009)","plainCitation":"(Chinnadurai et al., 2009; Vazquez et al., 2009)","noteIndex":0},"citationItems":[{"id":425,"uris":["http://zotero.org/users/6401767/items/FZLNYFFB"],"itemData":{"id":425,"type":"article-journal","abstract":"Chytridiomycosis is an often fatal fungal disease of amphibians caused by Batrachochytrium dendrobatidis. This disease has been implicated in the worldwide decline of many anuran species, but studies of chytridiomycosis in wild salamanders are limited. Between August 2006 and December 2006, we tested wild amphibians in North Carolina, USA (n5212) by polymerase chain reaction (PCR). We identified three PCR-positive animals: one Rana clamitans and two Plethodontid salamanders. We experimentally infected two species of native North Carolina Plethodontid salamanders, the slimy salamander (Plethodon glutinosus) and the Blue Ridge Mountain dusky salamander (Desmognathus orestes) with 1,000,000 zoospores of B. dendrobatidis per animal. Susceptibility was species dependent; all slimy salamanders developed clinical signs of chytridiomycosis, and one died, whereas dusky salamanders remained unaffected. In a second experiment, we challenged na¨ıve slimy salamanders with either 10,000 or 100,000 motile zoospores per animal. Clinical signs consistent with chytridiomycosis were not observed at either dose or in uninfected controls during the 45 days of this experiment. All animals inoculated with B. dendrobatidis in both experiments, regardless of dose, tested positive by PCR. Our study indicates that slimy salamanders are more susceptible to clinical chytridiomycosis than dusky salamanders, and in a laboratory setting, a dose greater than 100,000 zoospores per animal is required to induce clinical disease. This study also indicates that PCR is a very sensitive tool for detecting B. dendrobatidis infection, even in animals that are clinically unaffected, thus positive results should be interpreted with caution.","container-title":"Journal of Wildlife Diseases","DOI":"10.7589/0090-3558-45.3.631","ISSN":"0090-3558","issue":"3","journalAbbreviation":"Journal of Wildlife Diseases","language":"en","page":"631-636","source":"DOI.org (Crossref)","title":"EXPERIMENTAL INFECTION OF NATIVE NORTH CAROLINA SALAMANDERS WITH BATRACHOCHYTRIUM DENDROBATIDIS","volume":"45","author":[{"family":"Chinnadurai","given":"Sathya K."},{"family":"Cooper","given":"David"},{"family":"Dombrowski","given":"Daniel S."},{"family":"Poore","given":"Matthew F."},{"family":"Levy","given":"Michael G."}],"issued":{"date-parts":[["2009",7]]}}},{"id":424,"uris":["http://zotero.org/users/6401767/items/BFLW37K6"],"itemData":{"id":424,"type":"article-journal","abstract":"The presence in the southeastern USA of Batrachochytrium dendrobatidis, a fungal pathogen of amphibians, is a potential threat to the diverse salamander assemblages in the region. In this study, we tested the susceptibility of plethodontid salamanders to infection with B. dendrobatidis. We experimentally infected one terrestrial species (Plethodon metcalfi) and one stream-dwelling species (Desmognathus monticola). Mortality of P. metcalfi due to B. dendrobatidis infection was 41.7% and was higher at 8°C (75%) than at 16°C (8.3%). B. dendrobatidis did not cause any mortality in D. monticola. Infected salamanders exhibited few of the clinical signs associated with B. dendrobatidis infection; however, they exhibited histologic signs of disease. Our results suggest that Plethodon species in the southeastern USA are at risk of becoming infected with B. dendrobatidis and developing chytridiomycosis. However, some animals may have survived with or cleared the infection. Additional studies are required to determine whether chytridiomycosis is a significant factor in declines of plethodontid salamanders.","container-title":"Diseases of Aquatic Organisms","DOI":"10.3354/dao02026","ISSN":"0177-5103, 1616-1580","journalAbbreviation":"Dis. Aquat. Org.","language":"en","page":"1-7","source":"DOI.org (Crossref)","title":"Experimental infection of North American plethodontid salamanders with the fungus Batrachochytrium dendrobatidis","volume":"84","author":[{"family":"Vazquez","given":"Vm"},{"family":"Rothermel","given":"Bb"},{"family":"Pessier","given":"Ap"}],"issued":{"date-parts":[["2009",3,9]]}}}],"schema":"https://github.com/citation-style-language/schema/raw/master/csl-citation.json"}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(Chinnadurai et al., 2009; Vazquez et al., 2009)</w:t>
      </w:r>
      <w:r w:rsidRPr="00553649">
        <w:rPr>
          <w:rFonts w:ascii="Times New Roman" w:hAnsi="Times New Roman" w:cs="Times New Roman"/>
        </w:rPr>
        <w:fldChar w:fldCharType="end"/>
      </w:r>
      <w:r w:rsidRPr="00553649">
        <w:rPr>
          <w:rFonts w:ascii="Times New Roman" w:hAnsi="Times New Roman" w:cs="Times New Roman"/>
        </w:rPr>
        <w:t xml:space="preserve">. Rare detection in the wild and decreased susceptibility could be a result of plethodontid ecology, however, the skin microbiome of plethodontid salamanders also consistently contains microbes associated with anti-fungal capabilities </w:t>
      </w:r>
      <w:r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{"citationID":"O8xdtWAT","properties":{"formattedCitation":"(Harris et al., 2006; Loudon et al., 2014; Muletz et al., 2012a)","plainCitation":"(Harris et al., 2006; Loudon et al., 2014; Muletz et al., 2012a)","noteIndex":0},"citationItems":[{"id":96,"uris":["http://zotero.org/users/6401767/items/B64EXQ85"],"itemData":{"id":96,"type":"article-journal","abstract":"Population declines of amphibian species in many parts of the world are associated with a lethal fungal pathogen, Batrachochytrium dendrobatidis. Using laboratory challenge assays, we describe the inhibition of B. dendrobatidis by members of eight genera of bacteria isolated from the skin of two amphibian species that exhibit parental care behavior (Plethodon cinereus and Hemidactylium scutatum). We found that members of three genera of bacteria isolated from the skins of the salamander P. cinereus and members of seven genera isolated from the salamander H. scutatum inhibited the growth of B. dendrobatidis. Understanding how B. dendrobatidis interacts with an ecological community of cutaneous ﬂora may be important in explaining and preventing amphibian population declines.","container-title":"EcoHealth","DOI":"10.1007/s10393-005-0009-1","ISSN":"1612-9202, 1612-9210","issue":"1","journalAbbreviation":"EcoHealth","language":"en","page":"53-56","source":"DOI.org (Crossref)","title":"Amphibian Pathogen Batrachochytrium dendrobatidis Is Inhibited by the Cutaneous Bacteria of Amphibian Species","volume":"3","author":[{"family":"Harris","given":"Reid N."},{"family":"James","given":"Timothy Y."},{"family":"Lauer","given":"Antje"},{"family":"Simon","given":"Mary Alice"},{"family":"Patel","given":"Amit"}],"issued":{"date-parts":[["2006",3]]}}},{"id":473,"uris":["http://zotero.org/users/6401767/items/9DTM5FIX"],"itemData":{"id":473,"type":"article-journal","abstract":"Beneficial cutaneous bacteria on amphibians can protect against the lethal disease chytridiomycosis, which has devastated many amphibian species and is caused by the fungus Batrachochytrium dendrobatidis. We describe the diversity of bacteria on red-backed salamanders (Plethodon cinereus) in the wild and the stability of these communities through time in captivity using culture-independent Illumina 16S rRNA gene sequencing. After field sampling, salamanders were housed with soil from the field or sterile media. The captive conditions led to different trajectories of bacterial communities. Eight OTUs present on &gt;90% of salamanders in the field, through time, and in both treatments were defined as the core community, suggesting that some bacteria are closely associated with the host and are independent of an environmental reservoir. One of these taxa, a Pseudomonas sp., was previously cultured from amphibians and found to be antifungal. As all host-associated bacteria were found in the soil reservoir, environmental microbes strongly influence host–microbial diversity and likely regulate the core community. Using PICRUSt, an exploratory bioinformatics tool to predict gene functions, we found that core skin bacteria provided similar gene functions to the entire community. We suggest that future experiments focus on testing whether core bacteria on salamander skin contribute to the observed resistance to chytridiomycosis in this species even under hygenic captive conditions. For disease-susceptible hosts, providing an environmental reservoir with defensive bacteria in captive-rearing programs may improve outcomes by increasing bacterial diversity on threatened amphibians or increasing the likelihood that defensive bacteria are available for colonization.","container-title":"The ISME Journal","DOI":"10.1038/ismej.2013.200","ISSN":"1751-7370","issue":"4","language":"en","license":"2014 The Author(s)","note":"number: 4\npublisher: Nature Publishing Group","page":"830-840","source":"www.nature.com","title":"Microbial community dynamics and effect of environmental microbial reservoirs on red-backed salamanders ( Plethodon cinereus )","volume":"8","author":[{"family":"Loudon","given":"Andrew H."},{"family":"Woodhams","given":"Douglas C."},{"family":"Parfrey","given":"Laura Wegener"},{"family":"Archer","given":"Holly"},{"family":"Knight","given":"Rob"},{"family":"McKenzie","given":"Valerie"},{"family":"Harris","given":"Reid N."}],"issued":{"date-parts":[["2014",4]]}}},{"id":119,"uris":["http://zotero.org/users/6401767/items/868D7ZS2"],"itemData":{"id":119,"type":"article-journal","abstract":"Amphibians worldwide are declining in part due to the disease chytridiomycosis caused by the cutaneous fungal pathogen Batrachochytrium dendrobatidis (Bd). While several experimental disease mitigation strategies are currently being tested, no proven implementable strategy exists to combat chytridiomycosis in the field. A plausible conservation strategy is the use of probiotic anti-Bd bacteria to combat chytridiomycosis (bioaugmentation). In this study, we examined the use of soil bioaugmentation in mitigation of chytridiomycosis in a laboratory experiment. Specifically, we sought to determine if the anti-Bd bacterial species Janthinobacterium lividum could be successfully introduced into natural soil, if the introduced bacteria could then be transmitted to the skin of the amphibian species Plethodon cinereus, and if the environmental transmission of J. lividum could reduce Bd infection on P. cinereus. We demonstrated that J. lividum can be successfully introduced into soil and can be environmentally transmitted to P. cinereus skin. We found that the environmental transmission of J. lividum inhibited colonization by Bd on the skin of P. cinereus five days post-Bd exposure. Soil bioaugmentation may be a feasible conservation strategy that could protect amphibians susceptible to chytridiomycosis from declines driven by the disease.","container-title":"Biological Conservation","DOI":"10.1016/j.biocon.2012.03.022","ISSN":"0006-3207","journalAbbreviation":"Biological Conservation","language":"en","page":"119-126","source":"ScienceDirect","title":"Soil bioaugmentation with amphibian cutaneous bacteria protects amphibian hosts from infection by Batrachochytrium dendrobatidis","volume":"152","author":[{"family":"Muletz","given":"Carly R."},{"family":"Myers","given":"Jillian M."},{"family":"Domangue","given":"Rickie J."},{"family":"Herrick","given":"James B."},{"family":"Harris","given":"Reid N."}],"issued":{"date-parts":[["2012",8,1]]}}}],"schema":"https://github.com/citation-style-language/schema/raw/master/csl-citation.json"} </w:instrText>
      </w:r>
      <w:r w:rsidRPr="00553649">
        <w:rPr>
          <w:rFonts w:ascii="Times New Roman" w:hAnsi="Times New Roman" w:cs="Times New Roman"/>
        </w:rPr>
        <w:fldChar w:fldCharType="separate"/>
      </w:r>
      <w:r w:rsidR="00CB244F">
        <w:rPr>
          <w:rFonts w:ascii="Times New Roman" w:hAnsi="Times New Roman" w:cs="Times New Roman"/>
        </w:rPr>
        <w:t>(Harris et al., 2006; Loudon et al., 2014; Muletz et al., 2012a)</w:t>
      </w:r>
      <w:r w:rsidRPr="00553649">
        <w:rPr>
          <w:rFonts w:ascii="Times New Roman" w:hAnsi="Times New Roman" w:cs="Times New Roman"/>
        </w:rPr>
        <w:fldChar w:fldCharType="end"/>
      </w:r>
      <w:r w:rsidRPr="00553649">
        <w:rPr>
          <w:rFonts w:ascii="Times New Roman" w:hAnsi="Times New Roman" w:cs="Times New Roman"/>
        </w:rPr>
        <w:t>.</w:t>
      </w:r>
    </w:p>
    <w:p w14:paraId="3F812C93" w14:textId="27E8CB45" w:rsidR="007C7BE3" w:rsidRPr="00553649" w:rsidRDefault="007C7BE3" w:rsidP="007C7BE3">
      <w:pPr>
        <w:spacing w:line="360" w:lineRule="auto"/>
        <w:ind w:firstLine="720"/>
        <w:rPr>
          <w:rFonts w:ascii="Times New Roman" w:hAnsi="Times New Roman" w:cs="Times New Roman"/>
        </w:rPr>
      </w:pP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is currently restricted to Asia and Europe, but appears more lethal to salamanders and habitat modeling indicates southern Appalachia to be a high-risk area due to proximity to trade ports, abiotic characteristics, and </w:t>
      </w:r>
      <w:r w:rsidR="00B243E0">
        <w:rPr>
          <w:rFonts w:ascii="Times New Roman" w:hAnsi="Times New Roman" w:cs="Times New Roman"/>
        </w:rPr>
        <w:t>amphibian species</w:t>
      </w:r>
      <w:r w:rsidRPr="00553649">
        <w:rPr>
          <w:rFonts w:ascii="Times New Roman" w:hAnsi="Times New Roman" w:cs="Times New Roman"/>
        </w:rPr>
        <w:t xml:space="preserve"> richness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{"citationID":"xEZ7D38K","properties":{"formattedCitation":"(Martel et al., 2014; H. K. Smith et al., 2018; G. Stegen et al., 2017; Yap et al., 2017)","plainCitation":"(Martel et al., 2014; H. K. Smith et al., 2018; G. Stegen et al., 2017; Yap et al., 2017)","noteIndex":0},"citationItems":[{"id":435,"uris":["http://zotero.org/users/6401767/items/P9IWY4WV"],"itemData":{"id":435,"type":"article-journal","abstract":"Emerging infectious diseases are reducing biodiversity on a global scale. Recently, the emergence of the chytrid fungus Batrachochytrium salamandrivorans resulted in rapid declines in populations of European fire salamanders. Here, we screened more than 5000 amphibians from across four continents and combined experimental assessment of pathogenicity with phylogenetic methods to estimate the threat that this infection poses to amphibian diversity. Results show that B. salamandrivorans is restricted to, but highly pathogenic for, salamanders and newts (Urodela). The pathogen likely originated and remained in coexistence with a clade of salamander hosts for millions of years in Asia. As a result of globalization and lack of biosecurity, it has recently been introduced into naïve European amphibian populations, where it is currently causing biodiversity loss.","container-title":"Science (New York, N.Y.)","DOI":"10.1126/science.1258268","ISSN":"0036-8075","issue":"6209","journalAbbreviation":"Science","note":"PMID: 25359973\nPMCID: PMC5769814","page":"630-631","source":"PubMed Central","title":"Recent introduction of a chytrid fungus endangers Western Palearctic salamanders","volume":"346","author":[{"family":"Martel","given":"A."},{"family":"Blooi","given":"M."},{"family":"Adriaensen","given":"C."},{"family":"Van Rooij","given":"P."},{"family":"Beukema","given":"W."},{"family":"Fisher","given":"M. C."},{"family":"Farrer","given":"R. A."},{"family":"Schmidt","given":"B. R."},{"family":"Tobler","given":"U."},{"family":"Goka","given":"K."},{"family":"Lips","given":"K. R."},{"family":"Muletz","given":"C."},{"family":"Zamudio","given":"K. R."},{"family":"Bosch","given":"J."},{"family":"Lötters","given":"S."},{"family":"Wombwell","given":"E."},{"family":"Garner","given":"T.W. J."},{"family":"Cunningham","given":"A. A."},{"family":"Spitzen-van der Sluijs","given":"A."},{"family":"Salvidio","given":"S."},{"family":"Ducatelle","given":"R."},{"family":"Nishikawa","given":"K."},{"family":"Nguyen","given":"T. T."},{"family":"Kolby","given":"J. E."},{"family":"Van Bocxlaer","given":"I."},{"family":"Bossuyt","given":"F."},{"family":"Pasmans","given":"F."}],"issued":{"date-parts":[["2014",10,31]]}}},{"id":492,"uris":["http://zotero.org/users/6401767/items/G7NST979"],"itemData":{"id":492,"type":"article-journal","abstract":"Recently emerged fungal diseases, Batrachochytrium dendrobatidis (Bd) and Batrachochytrium salamandrivorans (Bsal) are an increasing threat to amphibians worldwide. In Europe, the threat of Bsal to salamander populations is demonstrated by the rapid decline of fire salamander populations in Germany, the Netherlands and Belgium. Although most European urodelans are susceptible to infection in infection trials, recent evidence suggests marked interspecific differences in the course of infection, with potentially far reaching implications for salamander conservation. As a salamander’s skin is the first line of defense against such pathogens, interspecific differences in innate immune function of the skin may explain differential susceptibility. Here we investigate if compounds present on a salamander’s skin can kill Bsal spores and if there is variation among species. We used a non-invasive assay to compare killing ability of salamander mucosomes of four different species (captive and wild Salamandra salamandra and captive Ichtyosaura alpestris, Cynops pyrrhogaster and Lissotriton helveticus) by exposing Bsal zoospores to salamander mucosomes and determining spore survival. In all samples, zoospores were killed when exposed to mucosomes. Moreover, we saw a significant variation in this Bsal killing ability of mucosomes between different salamander host species. Our results indicate that mucosomes of salamanders might provide crucial skin protection against Bsal, and could explain why some species are more susceptible than others. This study represents a step towards better understanding host species variation in innate immune function and disease susceptibility in amphibians.","container-title":"PLoS ONE","DOI":"10.1371/journal.pone.0199295","ISSN":"1932-6203","issue":"7","journalAbbreviation":"PLoS One","note":"PMID: 30020936\nPMCID: PMC6051575","source":"PubMed Central","title":"Skin mucosome activity as an indicator of Batrachochytrium salamandrivorans susceptibility in salamanders","URL":"https://www.ncbi.nlm.nih.gov/pmc/articles/PMC6051575/","volume":"13","author":[{"family":"Smith","given":"Hannah Keely"},{"family":"Pasmans","given":"Frank"},{"family":"Dhaenens","given":"Maarten"},{"family":"Deforce","given":"Dieter"},{"family":"Bonte","given":"Dries"},{"family":"Verheyen","given":"Kris"},{"family":"Lens","given":"Luc"},{"family":"Martel","given":"An"}],"accessed":{"date-parts":[["2021",1,12]]},"issued":{"date-parts":[["2018",7,18]]}}},{"id":433,"uris":["http://zotero.org/users/6401767/items/Q488XQZC"],"itemData":{"id":433,"type":"article-journal","abstract":"The recent arrival of Batrachochytrium salamandrivorans in Europe was followed by rapid expansion of its geographical distribution and host range, confirming the unprecedented threat that this chytrid fungus poses to western Palaearctic amphibians. Mitigating this hazard requires a thorough understanding of the pathogen's disease ecology that is driving the extinction process. Here, we monitored infection, disease and host population dynamics in a Belgian fire salamander (Salamandra salamandra) population for two years immediately after the first signs of infection. We show that arrival of this chytrid is associated with rapid population collapse without any sign of recovery, largely due to lack of increased resistance in the surviving salamanders and a demographic shift that prevents compensation for mortality. The pathogen adopts a dual transmission strategy, with environmentally resistant non-motile spores in addition to the motile spores identified in its sister species B. dendrobatidis. The fungus retains its virulence not only in water and soil, but also in anurans and less susceptible urodelan species that function as infection reservoirs. The combined characteristics of the disease ecology suggest that further expansion of this fungus will behave as a 'perfect storm' that is able to rapidly extirpate highly susceptible salamander populations across Europe.","container-title":"Nature","DOI":"10.1038/nature22059","journalAbbreviation":"Nature","page":"353","source":"ResearchGate","title":"Drivers of salamander extirpation mediated by Batrachochytrium salamandrivorans","volume":"544","author":[{"family":"Stegen","given":"Gwij"},{"family":"Pasmans","given":"Frank"},{"family":"Schmidt","given":"Benedikt"},{"family":"Rouffaer","given":"Lieze"},{"family":"Praet","given":"Sarah"},{"family":"Schaub","given":"Michael"},{"family":"Canessa","given":"Stefano"},{"family":"Laudelout","given":"Arnaud"},{"family":"Kinet","given":"Thierry"},{"family":"Adriaensen","given":"Connie"},{"family":"Haesebrouck","given":"Freddy"},{"family":"Bert","given":"Wim"},{"family":"Bossuyt","given":"Franky"},{"family":"Martel","given":"An"}],"issued":{"date-parts":[["2017",4,20]]}}},{"id":420,"uris":["http://zotero.org/users/6401767/items/QKM3RWTU"],"itemData":{"id":420,"type":"article-journal","abstract":"Amphibians are experiencing devastating population declines globally. A major driver is chytridiomycosis, an emerging infectious disease caused by the fungal pathogens Batrachochytrium dendrobatidis (Bd) and Batrachochytrium salamandrivorans (Bsal). Bd was described in 1999 and has been linked with declines since the 1970s, while Bsal is a more recently discovered pathogen that was described in 2013. It is hypothesized that Bsal originated in Asia and spread via international trade to Europe, where it has been linked to salamander die-offs. Trade in live amphibians thus represents a significant threat to global biodiversity in amphibians. We review the current state of knowledge regarding Bsal and describe the risk of Bsal spread. We discuss regional responses to Bsal and barriers that impede a rapid, coordinated global effort. The discovery of a second deadly emerging chytrid fungal pathogen in amphibians poses an opportunity for scientists, conservationists, and governments to improve global biosecurity and further protect humans and wildlife from a growing number of emerging infectious diseases.","container-title":"EcoHealth","DOI":"10.1007/s10393-017-1278-1","ISSN":"1612-9210","issue":"4","journalAbbreviation":"EcoHealth","language":"en","page":"851-864","source":"Springer Link","title":"Batrachochytrium salamandrivorans and the Risk of a Second Amphibian Pandemic","volume":"14","author":[{"family":"Yap","given":"Tiffany A."},{"family":"Nguyen","given":"Natalie T."},{"family":"Serr","given":"Megan"},{"family":"Shepack","given":"Alexander"},{"family":"Vredenburg","given":"Vance T."}],"issued":{"date-parts":[["2017",12,1]]}}}],"schema":"https://github.com/citation-style-language/schema/raw/master/csl-citation.json"}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(Martel et al., 2014; H. K. Smith et al., 2018; G. Stegen et al., 2017; Yap et al., 2017)</w:t>
      </w:r>
      <w:r w:rsidRPr="00553649">
        <w:rPr>
          <w:rFonts w:ascii="Times New Roman" w:hAnsi="Times New Roman" w:cs="Times New Roman"/>
        </w:rPr>
        <w:fldChar w:fldCharType="end"/>
      </w:r>
      <w:r w:rsidRPr="00553649">
        <w:rPr>
          <w:rFonts w:ascii="Times New Roman" w:hAnsi="Times New Roman" w:cs="Times New Roman"/>
        </w:rPr>
        <w:t xml:space="preserve">. Early studies assessing the susceptibility of North American salamanders to </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found Eastern Newts (</w:t>
      </w:r>
      <w:proofErr w:type="spellStart"/>
      <w:r w:rsidRPr="00553649">
        <w:rPr>
          <w:rFonts w:ascii="Times New Roman" w:hAnsi="Times New Roman" w:cs="Times New Roman"/>
          <w:i/>
          <w:iCs/>
        </w:rPr>
        <w:t>Notopthalmus</w:t>
      </w:r>
      <w:proofErr w:type="spellEnd"/>
      <w:r w:rsidRPr="00553649">
        <w:rPr>
          <w:rFonts w:ascii="Times New Roman" w:hAnsi="Times New Roman" w:cs="Times New Roman"/>
          <w:i/>
          <w:iCs/>
        </w:rPr>
        <w:t xml:space="preserve"> </w:t>
      </w:r>
      <w:proofErr w:type="spellStart"/>
      <w:r w:rsidRPr="00553649">
        <w:rPr>
          <w:rFonts w:ascii="Times New Roman" w:hAnsi="Times New Roman" w:cs="Times New Roman"/>
          <w:i/>
          <w:iCs/>
        </w:rPr>
        <w:t>viridescens</w:t>
      </w:r>
      <w:proofErr w:type="spellEnd"/>
      <w:r w:rsidRPr="00553649">
        <w:rPr>
          <w:rFonts w:ascii="Times New Roman" w:hAnsi="Times New Roman" w:cs="Times New Roman"/>
        </w:rPr>
        <w:t xml:space="preserve">) to be highly susceptible, similar to European </w:t>
      </w:r>
      <w:proofErr w:type="spellStart"/>
      <w:r w:rsidRPr="00553649">
        <w:rPr>
          <w:rFonts w:ascii="Times New Roman" w:hAnsi="Times New Roman" w:cs="Times New Roman"/>
        </w:rPr>
        <w:t>salamandrids</w:t>
      </w:r>
      <w:proofErr w:type="spellEnd"/>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{"citationID":"1bLdElmD","properties":{"formattedCitation":"(Martel et al., 2014; H. K. Smith et al., 2018)","plainCitation":"(Martel et al., 2014; H. K. Smith et al., 2018)","noteIndex":0},"citationItems":[{"id":435,"uris":["http://zotero.org/users/6401767/items/P9IWY4WV"],"itemData":{"id":435,"type":"article-journal","abstract":"Emerging infectious diseases are reducing biodiversity on a global scale. Recently, the emergence of the chytrid fungus Batrachochytrium salamandrivorans resulted in rapid declines in populations of European fire salamanders. Here, we screened more than 5000 amphibians from across four continents and combined experimental assessment of pathogenicity with phylogenetic methods to estimate the threat that this infection poses to amphibian diversity. Results show that B. salamandrivorans is restricted to, but highly pathogenic for, salamanders and newts (Urodela). The pathogen likely originated and remained in coexistence with a clade of salamander hosts for millions of years in Asia. As a result of globalization and lack of biosecurity, it has recently been introduced into naïve European amphibian populations, where it is currently causing biodiversity loss.","container-title":"Science (New York, N.Y.)","DOI":"10.1126/science.1258268","ISSN":"0036-8075","issue":"6209","journalAbbreviation":"Science","note":"PMID: 25359973\nPMCID: PMC5769814","page":"630-631","source":"PubMed Central","title":"Recent introduction of a chytrid fungus endangers Western Palearctic salamanders","volume":"346","author":[{"family":"Martel","given":"A."},{"family":"Blooi","given":"M."},{"family":"Adriaensen","given":"C."},{"family":"Van Rooij","given":"P."},{"family":"Beukema","given":"W."},{"family":"Fisher","given":"M. C."},{"family":"Farrer","given":"R. A."},{"family":"Schmidt","given":"B. R."},{"family":"Tobler","given":"U."},{"family":"Goka","given":"K."},{"family":"Lips","given":"K. R."},{"family":"Muletz","given":"C."},{"family":"Zamudio","given":"K. R."},{"family":"Bosch","given":"J."},{"family":"Lötters","given":"S."},{"family":"Wombwell","given":"E."},{"family":"Garner","given":"T.W. J."},{"family":"Cunningham","given":"A. A."},{"family":"Spitzen-van der Sluijs","given":"A."},{"family":"Salvidio","given":"S."},{"family":"Ducatelle","given":"R."},{"family":"Nishikawa","given":"K."},{"family":"Nguyen","given":"T. T."},{"family":"Kolby","given":"J. E."},{"family":"Van Bocxlaer","given":"I."},{"family":"Bossuyt","given":"F."},{"family":"Pasmans","given":"F."}],"issued":{"date-parts":[["2014",10,31]]}}},{"id":492,"uris":["http://zotero.org/users/6401767/items/G7NST979"],"itemData":{"id":492,"type":"article-journal","abstract":"Recently emerged fungal diseases, Batrachochytrium dendrobatidis (Bd) and Batrachochytrium salamandrivorans (Bsal) are an increasing threat to amphibians worldwide. In Europe, the threat of Bsal to salamander populations is demonstrated by the rapid decline of fire salamander populations in Germany, the Netherlands and Belgium. Although most European urodelans are susceptible to infection in infection trials, recent evidence suggests marked interspecific differences in the course of infection, with potentially far reaching implications for salamander conservation. As a salamander’s skin is the first line of defense against such pathogens, interspecific differences in innate immune function of the skin may explain differential susceptibility. Here we investigate if compounds present on a salamander’s skin can kill Bsal spores and if there is variation among species. We used a non-invasive assay to compare killing ability of salamander mucosomes of four different species (captive and wild Salamandra salamandra and captive Ichtyosaura alpestris, Cynops pyrrhogaster and Lissotriton helveticus) by exposing Bsal zoospores to salamander mucosomes and determining spore survival. In all samples, zoospores were killed when exposed to mucosomes. Moreover, we saw a significant variation in this Bsal killing ability of mucosomes between different salamander host species. Our results indicate that mucosomes of salamanders might provide crucial skin protection against Bsal, and could explain why some species are more susceptible than others. This study represents a step towards better understanding host species variation in innate immune function and disease susceptibility in amphibians.","container-title":"PLoS ONE","DOI":"10.1371/journal.pone.0199295","ISSN":"1932-6203","issue":"7","journalAbbreviation":"PLoS One","note":"PMID: 30020936\nPMCID: PMC6051575","source":"PubMed Central","title":"Skin mucosome activity as an indicator of Batrachochytrium salamandrivorans susceptibility in salamanders","URL":"https://www.ncbi.nlm.nih.gov/pmc/articles/PMC6051575/","volume":"13","author":[{"family":"Smith","given":"Hannah Keely"},{"family":"Pasmans","given":"Frank"},{"family":"Dhaenens","given":"Maarten"},{"family":"Deforce","given":"Dieter"},{"family":"Bonte","given":"Dries"},{"family":"Verheyen","given":"Kris"},{"family":"Lens","given":"Luc"},{"family":"Martel","given":"An"}],"accessed":{"date-parts":[["2021",1,12]]},"issued":{"date-parts":[["2018",7,18]]}}}],"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(Martel et al., 2014; H. K. Smith et al., 2018)</w:t>
      </w:r>
      <w:r w:rsidRPr="00553649">
        <w:rPr>
          <w:rFonts w:ascii="Times New Roman" w:hAnsi="Times New Roman" w:cs="Times New Roman"/>
        </w:rPr>
        <w:fldChar w:fldCharType="end"/>
      </w:r>
      <w:r w:rsidRPr="00553649">
        <w:rPr>
          <w:rFonts w:ascii="Times New Roman" w:hAnsi="Times New Roman" w:cs="Times New Roman"/>
        </w:rPr>
        <w:t xml:space="preserve">, whereas </w:t>
      </w:r>
      <w:proofErr w:type="spellStart"/>
      <w:r w:rsidRPr="00553649">
        <w:rPr>
          <w:rFonts w:ascii="Times New Roman" w:hAnsi="Times New Roman" w:cs="Times New Roman"/>
        </w:rPr>
        <w:t>ambystomatids</w:t>
      </w:r>
      <w:proofErr w:type="spellEnd"/>
      <w:r w:rsidRPr="00553649">
        <w:rPr>
          <w:rFonts w:ascii="Times New Roman" w:hAnsi="Times New Roman" w:cs="Times New Roman"/>
        </w:rPr>
        <w:t xml:space="preserve"> appear resistant to </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through potent skin activity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{"citationID":"Xx1RYdQG","properties":{"formattedCitation":"(Barnhart et al., 2020; Pereira et al., 2023)","plainCitation":"(Barnhart et al., 2020; Pereira et al., 2023)","noteIndex":0},"citationItems":[{"id":458,"uris":["http://zotero.org/users/6401767/items/BUVSVXKH"],"itemData":{"id":458,"type":"article-journal","abstract":"The emerging fungal pathogen Batrachochytrium salamandrivorans (Bsal) is a major threat to amphibian species worldwide with potential to infect many species if it invades salamander biodiversity hotspots in the Americas. Bsal can cause the disease chytridiomycosis, and it is important to assess the risk of Bsal-induced chytridiomycosis to species in North America. We evaluated the susceptibility to Bsal of the common and widespread spotted salamander, Ambystoma maculatum, across life-history stages and monitored the effect of Bsal exposure on growth rate and response of the stress hormone, corticosterone. We conclude that spotted salamanders appear resistant to Bsal because they showed no indication of disease or infection, and experienced minor effects on growth upon exposure. While we focused on a single population for this study, results were consistent across conditions of exposure including high or repeated doses of Bsal, life-stage at exposure, environmental conditions including two temperatures and two substrates, and promoting pathogen infectivity by conditioning Bsal cultures with thyroid hormone. Exposure to high levels of Bsal elicited an acute but not chronic increase in corticosterone in spotted salamanders, and reduced growth. We hypothesize that the early acute increase in corticosterone facilitated mounting an immune response to the pathogen, perhaps through immunoredistribution to the skin, but further study is needed to determine immune responses to Bsal. These results will contribute to development of appropriate Bsal management plans to conserve species at risk of emerging disease.","container-title":"Animal Conservation","DOI":"https://doi.org/10.1111/acv.12565","ISSN":"1469-1795","issue":"5","language":"en","note":"_eprint: https://zslpublications.onlinelibrary.wiley.com/doi/pdf/10.1111/acv.12565","page":"533-546","source":"Wiley Online Library","title":"Batrachochytrium salamandrivorans elicits acute stress response in spotted salamanders but not infection or mortality","volume":"23","author":[{"family":"Barnhart","given":"K."},{"family":"Bletz","given":"M. C."},{"family":"LaBumbard","given":"B."},{"family":"Tokash‐Peters","given":"A."},{"family":"Gabor","given":"C. R."},{"family":"Woodhams","given":"D. C."}],"issued":{"date-parts":[["2020"]]}}},{"id":67,"uris":["http://zotero.org/users/6401767/items/7M2KD5XQ"],"itemData":{"id":67,"type":"article-journal","abstract":"Given the current and future costs of antibiotic-resistant bacteria to human health and economic productivity, there is an urgent need to develop new antimicrobial compounds. Antimicrobial peptides are a promising alternative to conventional antibiotics and other antimicrobials. Amphibian skin is a rich source of bioactive compounds, but the antibacterial properties of salamander skin peptides have been neglected. Here, we examined the in vitro ability of skin peptides from 9 species of salamander representing 6 salamander families to inhibit the growth of ESKAPE pathogens, which are bacteria that have developed resistance to conventional antibiotics. We also examined whether the skin peptides caused lysis of human red blood cells. Skin peptides from Amphiuma tridactylum had the greatest antimicrobial properties, completely inhibiting the growth of all bacterial strains except for Enterococcus faecium. Likewise, skin peptides from Cryptobranchus alleganiensis completely inhibited the growth of several of the bacterial strains. In contrast, skin peptide mixtures from Ambystoma maculatum, Desmognathus fuscus, Eurycea bislineata, E. longicauda, Necturus beyeri, N. maculosus, and Siren intermedia did not completely inhibit bacterial growth even at the highest concentrations. Finally, none of the skin peptide mixtures caused lysis of human red blood cells. Together, we demonstrate that salamander skin produces peptides with potent antibacterial properties. It remains to elucidate the peptide sequences and their antibacterial mechanisms.","container-title":"Current Microbiology","DOI":"10.1007/s00284-023-03320-1","ISSN":"1432-0991","issue":"7","journalAbbreviation":"Curr Microbiol","language":"en","page":"214","source":"Springer Link","title":"In Vitro Investigation of the Antibacterial Activity of Salamander Skin Peptides","volume":"80","author":[{"family":"Pereira","given":"Kenzie E."},{"family":"Deslouches","given":"Jakobi T."},{"family":"Deslouches","given":"Berthony"},{"family":"Woodley","given":"Sarah K."}],"issued":{"date-parts":[["2023",5,17]]}}}],"schema":"https://github.com/citation-style-language/schema/raw/master/csl-citation.json"}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(Barnhart et al., 2020; Pereira et al., 2023)</w:t>
      </w:r>
      <w:r w:rsidRPr="00553649">
        <w:rPr>
          <w:rFonts w:ascii="Times New Roman" w:hAnsi="Times New Roman" w:cs="Times New Roman"/>
        </w:rPr>
        <w:fldChar w:fldCharType="end"/>
      </w:r>
      <w:r w:rsidRPr="00553649">
        <w:rPr>
          <w:rFonts w:ascii="Times New Roman" w:hAnsi="Times New Roman" w:cs="Times New Roman"/>
        </w:rPr>
        <w:t xml:space="preserve">. Plethodontids show variation in their response, with Spelerpinae being more susceptible than </w:t>
      </w:r>
      <w:proofErr w:type="spellStart"/>
      <w:r w:rsidRPr="00553649">
        <w:rPr>
          <w:rFonts w:ascii="Times New Roman" w:hAnsi="Times New Roman" w:cs="Times New Roman"/>
        </w:rPr>
        <w:t>Plethodontinae</w:t>
      </w:r>
      <w:proofErr w:type="spellEnd"/>
      <w:r w:rsidRPr="00553649">
        <w:rPr>
          <w:rFonts w:ascii="Times New Roman" w:hAnsi="Times New Roman" w:cs="Times New Roman"/>
        </w:rPr>
        <w:t xml:space="preserve">, with the exception of </w:t>
      </w:r>
      <w:proofErr w:type="spellStart"/>
      <w:r w:rsidRPr="00553649">
        <w:rPr>
          <w:rFonts w:ascii="Times New Roman" w:hAnsi="Times New Roman" w:cs="Times New Roman"/>
          <w:i/>
          <w:iCs/>
        </w:rPr>
        <w:t>Gyrinophilus</w:t>
      </w:r>
      <w:proofErr w:type="spellEnd"/>
      <w:r w:rsidRPr="00553649">
        <w:rPr>
          <w:rFonts w:ascii="Times New Roman" w:hAnsi="Times New Roman" w:cs="Times New Roman"/>
        </w:rPr>
        <w:t xml:space="preserve"> </w:t>
      </w:r>
      <w:r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{"citationID":"QTtvg7rT","properties":{"formattedCitation":"(Carter et al., 2020; DiRenzo et al., 2021; Jim\\uc0\\u233{}nez et al., 2022; Martel et al., 2014)","plainCitation":"(Carter et al., 2020; DiRenzo et al., 2021; Jiménez et al., 2022; Martel et al., 2014)","noteIndex":0},"citationItems":[{"id":422,"uris":["http://zotero.org/users/6401767/items/RHAPD48Z"],"itemData":{"id":422,"type":"article-journal","abstract":"The emerging fungal pathogen, Batrachochytrium salamandrivorans (Bsal), is a significant conservation threat to salamander biodiversity in Europe, although its potential to affect North American species is poorly understood. We tested the susceptibility of two genera (Eurycea and Pseudotriton) and three populations of lungless salamanders (Plethodontidae) to Bsal. All species became infected with Bsal and two (Pseudotriton ruber and Eurycea wilderae) developed chytridiomycosis. We also documented that susceptibility of E. wilderae differed among populations. Regardless of susceptibility, all species reduced feeding when exposed to Bsal at the highest zoospore dose, and P. ruber and one population of E. wilderae used cover objects less. Our results indicate that Bsal invasion in eastern North America could have significant negative impacts on endemic lungless salamander populations. Future conservation efforts should include surveillance for Bsal in the wild and in captivity, and championing legislation that requires and subsidizes pathogen-free trade of amphibians.","container-title":"Conservation Letters","DOI":"10.1111/conl.12675","ISSN":"1755-263X","issue":"1","language":"en","note":"_eprint: https://onlinelibrary.wiley.com/doi/pdf/10.1111/conl.12675","page":"e12675","source":"Wiley Online Library","title":"Conservation risk of Batrachochytrium salamandrivorans to endemic lungless salamanders","volume":"13","author":[{"family":"Carter","given":"Edward Davis"},{"family":"Miller","given":"Debra L."},{"family":"Peterson","given":"Anna C."},{"family":"Sutton","given":"William B."},{"family":"Cusaac","given":"Joseph Patrick W."},{"family":"Spatz","given":"Jennifer A."},{"family":"Rollins-Smith","given":"Louise"},{"family":"Reinert","given":"Laura"},{"family":"Bohanon","given":"Markese"},{"family":"Williams","given":"Lori A."},{"family":"Upchurch","given":"Andrea"},{"family":"Gray","given":"Matthew J."}],"issued":{"date-parts":[["2020"]]}}},{"id":419,"uris":["http://zotero.org/users/6401767/items/PJ8W8DFU"],"itemData":{"id":419,"type":"article-journal","abstract":"Emerging infectious diseases are among the leading drivers of the sixth mass extinction. The recent invasion of a highly pathogenic chytrid fungus, Batrachochytrium salamandrivorans (Bsal), across Europe has led to salamander mass mortality. To date, it remains unclear whether Bsal will cause salamander mass mortalities in North America. Here, we tested the Bsal susceptibility of eight wild-caught salamander species (Plethodon cinereus, P. glutinosus, P. montanus, P. cylindraceus, Desmognathus fuscus, D. wrighti, Eurycea wilderae, and Notophthalmus viridescens) by inoculating individuals sequentially with a low (10,000 zoospores) and high (500,000 zoospores) Bsal dose. Overall, we found rapid and complete mortality of N. viridescens accompanied with high-Bsal infections (&gt; 200,000 Bsal zoospores) and severe Bsal lesions distributed across the body and deep within the skin. In contrast, we found low mortality of plethodontid salamanders, where only 5 of 60 (8%) Bsal-exposed individuals died over the course of the experiment. In general, plethodontid salamanders experienced moderate Bsal infections (~ 4000 Bsal zoospores) with small numbers of Bsal-type lesions limited to the head and lateral body. Following the first Bsal inoculation, we found that Bd co-infections negatively affected Bsal infections, suggesting cross reactivity of the immune system or competitive exclusion, but this pattern did not persist following the second inoculation. We also found that Bsal infection intensity decreased over time following the second higher Bsal inoculation, suggesting evidence of immune priming. Throughout the experiment, all species and treatments experienced stable or increasing body condition over time. Lastly, ancestral state reconstruction of Bsal susceptibility indicated that although the most recent common ancestor (MRCA) of the family Plethodontidae is resistant to Bsal, the MRCA of the genus Plethodon is tolerant of Bsal. This highlights the variation in Bsal-infection outcomes across Plethodontidae. Collectively, our results suggest that Plethodontidae salamanders differ in their Bsal susceptibility, with some species less impacted than others, which will likely have consequences for their conservation and management.","container-title":"Biological Invasions","DOI":"10.1007/s10530-021-02536-1","ISSN":"1387-3547","issue":"9","language":"English","license":"© The Author(s), under exclusive licence to Springer Nature Switzerland AG 2021. corrected publication 2021.","note":"number-of-pages: 2797-2815\npublisher-place: Dordrecht, Netherlands\npublisher: Springer Nature B.V.","page":"2797-2815","source":"ProQuest","title":"Plethodontid salamanders show variable disease dynamics in response to Batrachochytrium salamandrivorans chytridiomycosis","volume":"23","author":[{"family":"DiRenzo","given":"Graziella V."},{"family":"Link to external site","given":"this","dropping-particle":"link will open in a new window"},{"family":"Longo","given":"Ana V."},{"family":"Muletz-Wolz","given":"Carly R."},{"family":"Pessier","given":"Allan P."},{"family":"Goodheart","given":"Jessica A."},{"family":"Lips","given":"Karen R."}],"issued":{"date-parts":[["2021",9]]}}},{"id":290,"uris":["http://zotero.org/users/6401767/items/G648SSCX"],"itemData":{"id":290,"type":"article-journal","abstract":"Mucosal defenses are crucial in animals for protection against pathogens and predators. Host defense peptides (antimicrobial peptides, AMPs) as well as skin-associated microbes are key components of mucosal immunity, particularly in amphibians. We integrate microbiology, molecular biology, network-thinking, and proteomics to understand how host and microbially derived products on amphibian skin (referred to as the mucosome) serve as pathogen defenses. We studied defense mechanisms against chytrid pathogens, Batrachochytrium dendrobatidis (Bd) and B. salamandrivorans (Bsal), in four salamander species with different Batrachochytrium susceptibilities. Bd infection was quantiﬁed using qPCR, mucosome function (i.e., ability to kill Bd or Bsal zoospores in vitro), skin bacterial communities using 16S rRNA gene amplicon sequencing, and the role of Bd-inhibitory bacteria in microbial networks across all species. We explored the presence of candidate-AMPs in eastern newts and red-backed salamanders. Eastern newts had the highest Bd prevalence and mucosome function, while red-back salamanders had the lowest Bd prevalence and mucosome function, and two-lined salamanders and seal salamanders were intermediates. Salamanders with highest Bd infection intensity showed greater mucosome function. Bd infection prevalence signiﬁcantly decreased as putative Bdinhibitory bacterial richness and relative abundance increased on hosts. In co-occurrence networks, some putative Bd-inhibitory bacteria were found as hub-taxa, with red-backs having the highest proportion of protective hubs and positive associations related to putative Bd-inhibitory hub bacteria. We found more AMP candidates on salamanders with lower Bd susceptibility. These ﬁndings suggest that salamanders possess distinct innate mechanisms that affect chytrid fungi.","container-title":"Applied and Environmental Microbiology","DOI":"10.1128/aem.01818-21","ISSN":"0099-2240, 1098-5336","issue":"8","journalAbbreviation":"Appl Environ Microbiol","language":"en","page":"e01818-21","source":"DOI.org (Crossref)","title":"Inhibitory Bacterial Diversity and Mucosome Function Differentiate Susceptibility of Appalachian Salamanders to Chytrid Fungal Infection","volume":"88","author":[{"family":"Jiménez","given":"Randall R."},{"family":"Carfagno","given":"Amy"},{"family":"Linhoff","given":"Luke"},{"family":"Gratwicke","given":"Brian"},{"family":"Woodhams","given":"Douglas C."},{"family":"Chafran","given":"Liana Soares"},{"family":"Bletz","given":"Molly C."},{"family":"Bishop","given":"Barney"},{"family":"Muletz-Wolz","given":"Carly R."}],"editor":[{"family":"Reguera","given":"Gemma"}],"issued":{"date-parts":[["2022",4,26]]}}},{"id":435,"uris":["http://zotero.org/users/6401767/items/P9IWY4WV"],"itemData":{"id":435,"type":"article-journal","abstract":"Emerging infectious diseases are reducing biodiversity on a global scale. Recently, the emergence of the chytrid fungus Batrachochytrium salamandrivorans resulted in rapid declines in populations of European fire salamanders. Here, we screened more than 5000 amphibians from across four continents and combined experimental assessment of pathogenicity with phylogenetic methods to estimate the threat that this infection poses to amphibian diversity. Results show that B. salamandrivorans is restricted to, but highly pathogenic for, salamanders and newts (Urodela). The pathogen likely originated and remained in coexistence with a clade of salamander hosts for millions of years in Asia. As a result of globalization and lack of biosecurity, it has recently been introduced into naïve European amphibian populations, where it is currently causing biodiversity loss.","container-title":"Science (New York, N.Y.)","DOI":"10.1126/science.1258268","ISSN":"0036-8075","issue":"6209","journalAbbreviation":"Science","note":"PMID: 25359973\nPMCID: PMC5769814","page":"630-631","source":"PubMed Central","title":"Recent introduction of a chytrid fungus endangers Western Palearctic salamanders","volume":"346","author":[{"family":"Martel","given":"A."},{"family":"Blooi","given":"M."},{"family":"Adriaensen","given":"C."},{"family":"Van Rooij","given":"P."},{"family":"Beukema","given":"W."},{"family":"Fisher","given":"M. C."},{"family":"Farrer","given":"R. A."},{"family":"Schmidt","given":"B. R."},{"family":"Tobler","given":"U."},{"family":"Goka","given":"K."},{"family":"Lips","given":"K. R."},{"family":"Muletz","given":"C."},{"family":"Zamudio","given":"K. R."},{"family":"Bosch","given":"J."},{"family":"Lötters","given":"S."},{"family":"Wombwell","given":"E."},{"family":"Garner","given":"T.W. J."},{"family":"Cunningham","given":"A. A."},{"family":"Spitzen-van der Sluijs","given":"A."},{"family":"Salvidio","given":"S."},{"family":"Ducatelle","given":"R."},{"family":"Nishikawa","given":"K."},{"family":"Nguyen","given":"T. T."},{"family":"Kolby","given":"J. E."},{"family":"Van Bocxlaer","given":"I."},{"family":"Bossuyt","given":"F."},{"family":"Pasmans","given":"F."}],"issued":{"date-parts":[["2014",10,31]]}}}],"schema":"https://github.com/citation-style-language/schema/raw/master/csl-citation.json"} </w:instrText>
      </w:r>
      <w:r w:rsidRPr="00553649">
        <w:rPr>
          <w:rFonts w:ascii="Times New Roman" w:hAnsi="Times New Roman" w:cs="Times New Roman"/>
        </w:rPr>
        <w:fldChar w:fldCharType="separate"/>
      </w:r>
      <w:r w:rsidR="00CB244F" w:rsidRPr="00CB244F">
        <w:rPr>
          <w:rFonts w:ascii="Times New Roman" w:hAnsi="Times New Roman" w:cs="Times New Roman"/>
        </w:rPr>
        <w:t>(Carter et al., 2020; DiRenzo et al., 2021; Jiménez et al., 2022; Martel et al., 2014)</w:t>
      </w:r>
      <w:r w:rsidRPr="00553649">
        <w:rPr>
          <w:rFonts w:ascii="Times New Roman" w:hAnsi="Times New Roman" w:cs="Times New Roman"/>
        </w:rPr>
        <w:fldChar w:fldCharType="end"/>
      </w:r>
      <w:r w:rsidRPr="00553649">
        <w:rPr>
          <w:rFonts w:ascii="Times New Roman" w:hAnsi="Times New Roman" w:cs="Times New Roman"/>
        </w:rPr>
        <w:t xml:space="preserve">. That said, the mechanisms involving susceptibility and resistance are not clear. </w:t>
      </w:r>
      <w:proofErr w:type="spellStart"/>
      <w:r w:rsidRPr="00553649">
        <w:rPr>
          <w:rFonts w:ascii="Times New Roman" w:hAnsi="Times New Roman" w:cs="Times New Roman"/>
        </w:rPr>
        <w:t>Mucosome</w:t>
      </w:r>
      <w:proofErr w:type="spellEnd"/>
      <w:r w:rsidRPr="00553649">
        <w:rPr>
          <w:rFonts w:ascii="Times New Roman" w:hAnsi="Times New Roman" w:cs="Times New Roman"/>
        </w:rPr>
        <w:t xml:space="preserve"> function is hypothesized to play a major role in Bd/</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susceptibility and resistance </w:t>
      </w:r>
      <w:r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{"citationID":"bNr71Nh4","properties":{"formattedCitation":"(Jim\\uc0\\u233{}nez et al., 2022)","plainCitation":"(Jiménez et al., 2022)","noteIndex":0},"citationItems":[{"id":290,"uris":["http://zotero.org/users/6401767/items/G648SSCX"],"itemData":{"id":290,"type":"article-journal","abstract":"Mucosal defenses are crucial in animals for protection against pathogens and predators. Host defense peptides (antimicrobial peptides, AMPs) as well as skin-associated microbes are key components of mucosal immunity, particularly in amphibians. We integrate microbiology, molecular biology, network-thinking, and proteomics to understand how host and microbially derived products on amphibian skin (referred to as the mucosome) serve as pathogen defenses. We studied defense mechanisms against chytrid pathogens, Batrachochytrium dendrobatidis (Bd) and B. salamandrivorans (Bsal), in four salamander species with different Batrachochytrium susceptibilities. Bd infection was quantiﬁed using qPCR, mucosome function (i.e., ability to kill Bd or Bsal zoospores in vitro), skin bacterial communities using 16S rRNA gene amplicon sequencing, and the role of Bd-inhibitory bacteria in microbial networks across all species. We explored the presence of candidate-AMPs in eastern newts and red-backed salamanders. Eastern newts had the highest Bd prevalence and mucosome function, while red-back salamanders had the lowest Bd prevalence and mucosome function, and two-lined salamanders and seal salamanders were intermediates. Salamanders with highest Bd infection intensity showed greater mucosome function. Bd infection prevalence signiﬁcantly decreased as putative Bdinhibitory bacterial richness and relative abundance increased on hosts. In co-occurrence networks, some putative Bd-inhibitory bacteria were found as hub-taxa, with red-backs having the highest proportion of protective hubs and positive associations related to putative Bd-inhibitory hub bacteria. We found more AMP candidates on salamanders with lower Bd susceptibility. These ﬁndings suggest that salamanders possess distinct innate mechanisms that affect chytrid fungi.","container-title":"Applied and Environmental Microbiology","DOI":"10.1128/aem.01818-21","ISSN":"0099-2240, 1098-5336","issue":"8","journalAbbreviation":"Appl Environ Microbiol","language":"en","page":"e01818-21","source":"DOI.org (Crossref)","title":"Inhibitory Bacterial Diversity and Mucosome Function Differentiate Susceptibility of Appalachian Salamanders to Chytrid Fungal Infection","volume":"88","author":[{"family":"Jiménez","given":"Randall R."},{"family":"Carfagno","given":"Amy"},{"family":"Linhoff","given":"Luke"},{"family":"Gratwicke","given":"Brian"},{"family":"Woodhams","given":"Douglas C."},{"family":"Chafran","given":"Liana Soares"},{"family":"Bletz","given":"Molly C."},{"family":"Bishop","given":"Barney"},{"family":"Muletz-Wolz","given":"Carly R."}],"editor":[{"family":"Reguera","given":"Gemma"}],"issued":{"date-parts":[["2022",4,26]]}}}],"schema":"https://github.com/citation-style-language/schema/raw/master/csl-citation.json"} </w:instrText>
      </w:r>
      <w:r w:rsidRPr="00553649">
        <w:rPr>
          <w:rFonts w:ascii="Times New Roman" w:hAnsi="Times New Roman" w:cs="Times New Roman"/>
        </w:rPr>
        <w:fldChar w:fldCharType="separate"/>
      </w:r>
      <w:r w:rsidR="00CB244F" w:rsidRPr="00CB244F">
        <w:rPr>
          <w:rFonts w:ascii="Times New Roman" w:hAnsi="Times New Roman" w:cs="Times New Roman"/>
        </w:rPr>
        <w:t>(Jiménez et al., 2022)</w:t>
      </w:r>
      <w:r w:rsidRPr="00553649">
        <w:rPr>
          <w:rFonts w:ascii="Times New Roman" w:hAnsi="Times New Roman" w:cs="Times New Roman"/>
        </w:rPr>
        <w:fldChar w:fldCharType="end"/>
      </w:r>
      <w:r w:rsidRPr="00553649">
        <w:rPr>
          <w:rFonts w:ascii="Times New Roman" w:hAnsi="Times New Roman" w:cs="Times New Roman"/>
        </w:rPr>
        <w:t xml:space="preserve">, but skin secretions from </w:t>
      </w:r>
      <w:proofErr w:type="spellStart"/>
      <w:r w:rsidRPr="00553649">
        <w:rPr>
          <w:rFonts w:ascii="Times New Roman" w:hAnsi="Times New Roman" w:cs="Times New Roman"/>
          <w:i/>
          <w:iCs/>
        </w:rPr>
        <w:t>Desmognathus</w:t>
      </w:r>
      <w:proofErr w:type="spellEnd"/>
      <w:r w:rsidRPr="00553649">
        <w:rPr>
          <w:rFonts w:ascii="Times New Roman" w:hAnsi="Times New Roman" w:cs="Times New Roman"/>
          <w:i/>
          <w:iCs/>
        </w:rPr>
        <w:t xml:space="preserve"> </w:t>
      </w:r>
      <w:proofErr w:type="spellStart"/>
      <w:r w:rsidRPr="00553649">
        <w:rPr>
          <w:rFonts w:ascii="Times New Roman" w:hAnsi="Times New Roman" w:cs="Times New Roman"/>
          <w:i/>
          <w:iCs/>
        </w:rPr>
        <w:t>ocoee</w:t>
      </w:r>
      <w:proofErr w:type="spellEnd"/>
      <w:r w:rsidRPr="00553649">
        <w:rPr>
          <w:rFonts w:ascii="Times New Roman" w:hAnsi="Times New Roman" w:cs="Times New Roman"/>
          <w:i/>
          <w:iCs/>
        </w:rPr>
        <w:t xml:space="preserve"> </w:t>
      </w:r>
      <w:r w:rsidRPr="00553649">
        <w:rPr>
          <w:rFonts w:ascii="Times New Roman" w:hAnsi="Times New Roman" w:cs="Times New Roman"/>
        </w:rPr>
        <w:t xml:space="preserve">and </w:t>
      </w:r>
      <w:proofErr w:type="spellStart"/>
      <w:r w:rsidRPr="00553649">
        <w:rPr>
          <w:rFonts w:ascii="Times New Roman" w:hAnsi="Times New Roman" w:cs="Times New Roman"/>
          <w:i/>
          <w:iCs/>
        </w:rPr>
        <w:t>Plethodon</w:t>
      </w:r>
      <w:proofErr w:type="spellEnd"/>
      <w:r w:rsidRPr="00553649">
        <w:rPr>
          <w:rFonts w:ascii="Times New Roman" w:hAnsi="Times New Roman" w:cs="Times New Roman"/>
          <w:i/>
          <w:iCs/>
        </w:rPr>
        <w:t xml:space="preserve"> </w:t>
      </w:r>
      <w:proofErr w:type="spellStart"/>
      <w:r w:rsidRPr="00553649">
        <w:rPr>
          <w:rFonts w:ascii="Times New Roman" w:hAnsi="Times New Roman" w:cs="Times New Roman"/>
          <w:i/>
          <w:iCs/>
        </w:rPr>
        <w:t>shermani</w:t>
      </w:r>
      <w:proofErr w:type="spellEnd"/>
      <w:r w:rsidRPr="00553649">
        <w:rPr>
          <w:rFonts w:ascii="Times New Roman" w:hAnsi="Times New Roman" w:cs="Times New Roman"/>
        </w:rPr>
        <w:t xml:space="preserve"> facilitated the growth of </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w:t>
      </w:r>
      <w:r w:rsidRPr="00553649">
        <w:rPr>
          <w:rFonts w:ascii="Times New Roman" w:hAnsi="Times New Roman" w:cs="Times New Roman"/>
          <w:i/>
          <w:iCs/>
        </w:rPr>
        <w:t>in vitro</w:t>
      </w:r>
      <w:r w:rsidRPr="00553649">
        <w:rPr>
          <w:rFonts w:ascii="Times New Roman" w:hAnsi="Times New Roman" w:cs="Times New Roman"/>
        </w:rPr>
        <w:t xml:space="preserve">, despite other members </w:t>
      </w:r>
      <w:r w:rsidR="00B243E0">
        <w:rPr>
          <w:rFonts w:ascii="Times New Roman" w:hAnsi="Times New Roman" w:cs="Times New Roman"/>
        </w:rPr>
        <w:t xml:space="preserve">of these genera </w:t>
      </w:r>
      <w:r w:rsidRPr="00553649">
        <w:rPr>
          <w:rFonts w:ascii="Times New Roman" w:hAnsi="Times New Roman" w:cs="Times New Roman"/>
        </w:rPr>
        <w:t xml:space="preserve">showing tolerance or resistance to </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infection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{"citationID":"na6PSuda","properties":{"formattedCitation":"(DiRenzo et al., 2021; Martel et al., 2014)","plainCitation":"(DiRenzo et al., 2021; Martel et al., 2014)","noteIndex":0},"citationItems":[{"id":419,"uris":["http://zotero.org/users/6401767/items/PJ8W8DFU"],"itemData":{"id":419,"type":"article-journal","abstract":"Emerging infectious diseases are among the leading drivers of the sixth mass extinction. The recent invasion of a highly pathogenic chytrid fungus, Batrachochytrium salamandrivorans (Bsal), across Europe has led to salamander mass mortality. To date, it remains unclear whether Bsal will cause salamander mass mortalities in North America. Here, we tested the Bsal susceptibility of eight wild-caught salamander species (Plethodon cinereus, P. glutinosus, P. montanus, P. cylindraceus, Desmognathus fuscus, D. wrighti, Eurycea wilderae, and Notophthalmus viridescens) by inoculating individuals sequentially with a low (10,000 zoospores) and high (500,000 zoospores) Bsal dose. Overall, we found rapid and complete mortality of N. viridescens accompanied with high-Bsal infections (&gt; 200,000 Bsal zoospores) and severe Bsal lesions distributed across the body and deep within the skin. In contrast, we found low mortality of plethodontid salamanders, where only 5 of 60 (8%) Bsal-exposed individuals died over the course of the experiment. In general, plethodontid salamanders experienced moderate Bsal infections (~ 4000 Bsal zoospores) with small numbers of Bsal-type lesions limited to the head and lateral body. Following the first Bsal inoculation, we found that Bd co-infections negatively affected Bsal infections, suggesting cross reactivity of the immune system or competitive exclusion, but this pattern did not persist following the second inoculation. We also found that Bsal infection intensity decreased over time following the second higher Bsal inoculation, suggesting evidence of immune priming. Throughout the experiment, all species and treatments experienced stable or increasing body condition over time. Lastly, ancestral state reconstruction of Bsal susceptibility indicated that although the most recent common ancestor (MRCA) of the family Plethodontidae is resistant to Bsal, the MRCA of the genus Plethodon is tolerant of Bsal. This highlights the variation in Bsal-infection outcomes across Plethodontidae. Collectively, our results suggest that Plethodontidae salamanders differ in their Bsal susceptibility, with some species less impacted than others, which will likely have consequences for their conservation and management.","container-title":"Biological Invasions","DOI":"10.1007/s10530-021-02536-1","ISSN":"1387-3547","issue":"9","language":"English","license":"© The Author(s), under exclusive licence to Springer Nature Switzerland AG 2021. corrected publication 2021.","note":"number-of-pages: 2797-2815\npublisher-place: Dordrecht, Netherlands\npublisher: Springer Nature B.V.","page":"2797-2815","source":"ProQuest","title":"Plethodontid salamanders show variable disease dynamics in response to Batrachochytrium salamandrivorans chytridiomycosis","volume":"23","author":[{"family":"DiRenzo","given":"Graziella V."},{"family":"Link to external site","given":"this","dropping-particle":"link will open in a new window"},{"family":"Longo","given":"Ana V."},{"family":"Muletz-Wolz","given":"Carly R."},{"family":"Pessier","given":"Allan P."},{"family":"Goodheart","given":"Jessica A."},{"family":"Lips","given":"Karen R."}],"issued":{"date-parts":[["2021",9]]}}},{"id":435,"uris":["http://zotero.org/users/6401767/items/P9IWY4WV"],"itemData":{"id":435,"type":"article-journal","abstract":"Emerging infectious diseases are reducing biodiversity on a global scale. Recently, the emergence of the chytrid fungus Batrachochytrium salamandrivorans resulted in rapid declines in populations of European fire salamanders. Here, we screened more than 5000 amphibians from across four continents and combined experimental assessment of pathogenicity with phylogenetic methods to estimate the threat that this infection poses to amphibian diversity. Results show that B. salamandrivorans is restricted to, but highly pathogenic for, salamanders and newts (Urodela). The pathogen likely originated and remained in coexistence with a clade of salamander hosts for millions of years in Asia. As a result of globalization and lack of biosecurity, it has recently been introduced into naïve European amphibian populations, where it is currently causing biodiversity loss.","container-title":"Science (New York, N.Y.)","DOI":"10.1126/science.1258268","ISSN":"0036-8075","issue":"6209","journalAbbreviation":"Science","note":"PMID: 25359973\nPMCID: PMC5769814","page":"630-631","source":"PubMed Central","title":"Recent introduction of a chytrid fungus endangers Western Palearctic salamanders","volume":"346","author":[{"family":"Martel","given":"A."},{"family":"Blooi","given":"M."},{"family":"Adriaensen","given":"C."},{"family":"Van Rooij","given":"P."},{"family":"Beukema","given":"W."},{"family":"Fisher","given":"M. C."},{"family":"Farrer","given":"R. A."},{"family":"Schmidt","given":"B. R."},{"family":"Tobler","given":"U."},{"family":"Goka","given":"K."},{"family":"Lips","given":"K. R."},{"family":"Muletz","given":"C."},{"family":"Zamudio","given":"K. R."},{"family":"Bosch","given":"J."},{"family":"Lötters","given":"S."},{"family":"Wombwell","given":"E."},{"family":"Garner","given":"T.W. J."},{"family":"Cunningham","given":"A. A."},{"family":"Spitzen-van der Sluijs","given":"A."},{"family":"Salvidio","given":"S."},{"family":"Ducatelle","given":"R."},{"family":"Nishikawa","given":"K."},{"family":"Nguyen","given":"T. T."},{"family":"Kolby","given":"J. E."},{"family":"Van Bocxlaer","given":"I."},{"family":"Bossuyt","given":"F."},{"family":"Pasmans","given":"F."}],"issued":{"date-parts":[["2014",10,31]]}}}],"schema":"https://github.com/citation-style-language/schema/raw/master/csl-citation.json"}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(DiRenzo et al., 2021; Martel et al., 2014)</w:t>
      </w:r>
      <w:r w:rsidRPr="00553649">
        <w:rPr>
          <w:rFonts w:ascii="Times New Roman" w:hAnsi="Times New Roman" w:cs="Times New Roman"/>
        </w:rPr>
        <w:fldChar w:fldCharType="end"/>
      </w:r>
      <w:r w:rsidRPr="00553649">
        <w:rPr>
          <w:rFonts w:ascii="Times New Roman" w:hAnsi="Times New Roman" w:cs="Times New Roman"/>
        </w:rPr>
        <w:t xml:space="preserve">. Instead, resistance to chytridiomycosis from </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appears to be a result of complex interactions stemming from the synergistic associations of host secretory products and residing microflora. This could explain observed variation within genera and species regarding the susceptibility and lethality of </w:t>
      </w:r>
      <w:proofErr w:type="spellStart"/>
      <w:r w:rsidRPr="00553649">
        <w:rPr>
          <w:rFonts w:ascii="Times New Roman" w:hAnsi="Times New Roman" w:cs="Times New Roman"/>
        </w:rPr>
        <w:t>Bsal</w:t>
      </w:r>
      <w:proofErr w:type="spellEnd"/>
      <w:r w:rsidRPr="00553649">
        <w:rPr>
          <w:rFonts w:ascii="Times New Roman" w:hAnsi="Times New Roman" w:cs="Times New Roman"/>
        </w:rPr>
        <w:t xml:space="preserv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{"citationID":"aYdu8tsU","properties":{"formattedCitation":"(Carter et al., 2020)","plainCitation":"(Carter et al., 2020)","noteIndex":0},"citationItems":[{"id":422,"uris":["http://zotero.org/users/6401767/items/RHAPD48Z"],"itemData":{"id":422,"type":"article-journal","abstract":"The emerging fungal pathogen, Batrachochytrium salamandrivorans (Bsal), is a significant conservation threat to salamander biodiversity in Europe, although its potential to affect North American species is poorly understood. We tested the susceptibility of two genera (Eurycea and Pseudotriton) and three populations of lungless salamanders (Plethodontidae) to Bsal. All species became infected with Bsal and two (Pseudotriton ruber and Eurycea wilderae) developed chytridiomycosis. We also documented that susceptibility of E. wilderae differed among populations. Regardless of susceptibility, all species reduced feeding when exposed to Bsal at the highest zoospore dose, and P. ruber and one population of E. wilderae used cover objects less. Our results indicate that Bsal invasion in eastern North America could have significant negative impacts on endemic lungless salamander populations. Future conservation efforts should include surveillance for Bsal in the wild and in captivity, and championing legislation that requires and subsidizes pathogen-free trade of amphibians.","container-title":"Conservation Letters","DOI":"10.1111/conl.12675","ISSN":"1755-263X","issue":"1","language":"en","note":"_eprint: https://onlinelibrary.wiley.com/doi/pdf/10.1111/conl.12675","page":"e12675","source":"Wiley Online Library","title":"Conservation risk of Batrachochytrium salamandrivorans to endemic lungless salamanders","volume":"13","author":[{"family":"Carter","given":"Edward Davis"},{"family":"Miller","given":"Debra L."},{"family":"Peterson","given":"Anna C."},{"family":"Sutton","given":"William B."},{"family":"Cusaac","given":"Joseph Patrick W."},{"family":"Spatz","given":"Jennifer A."},{"family":"Rollins-Smith","given":"Louise"},{"family":"Reinert","given":"Laura"},{"family":"Bohanon","given":"Markese"},{"family":"Williams","given":"Lori A."},{"family":"Upchurch","given":"Andrea"},{"family":"Gray","given":"Matthew J."}],"issued":{"date-parts":[["2020"]]}}}],"schema":"https://github.com/citation-style-language/schema/raw/master/csl-citation.json"}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(Carter et al., 2020)</w:t>
      </w:r>
      <w:r w:rsidRPr="00553649">
        <w:rPr>
          <w:rFonts w:ascii="Times New Roman" w:hAnsi="Times New Roman" w:cs="Times New Roman"/>
        </w:rPr>
        <w:fldChar w:fldCharType="end"/>
      </w:r>
      <w:r w:rsidRPr="00553649">
        <w:rPr>
          <w:rFonts w:ascii="Times New Roman" w:hAnsi="Times New Roman" w:cs="Times New Roman"/>
        </w:rPr>
        <w:t xml:space="preserve">. </w:t>
      </w:r>
    </w:p>
    <w:p w14:paraId="32881FC4" w14:textId="03FE95DD" w:rsidR="007C7BE3" w:rsidRPr="00553649" w:rsidRDefault="007C7BE3" w:rsidP="004A0174">
      <w:pPr>
        <w:spacing w:line="360" w:lineRule="auto"/>
        <w:ind w:firstLine="720"/>
        <w:rPr>
          <w:rFonts w:ascii="Times New Roman" w:hAnsi="Times New Roman" w:cs="Times New Roman"/>
        </w:rPr>
      </w:pPr>
      <w:r w:rsidRPr="00553649">
        <w:rPr>
          <w:rFonts w:ascii="Times New Roman" w:hAnsi="Times New Roman" w:cs="Times New Roman"/>
        </w:rPr>
        <w:t xml:space="preserve">Soil communities harbor high bacterial and fungal containing expansive interspecies interactions ranging from competition and </w:t>
      </w:r>
      <w:r w:rsidR="005A27CB">
        <w:rPr>
          <w:rFonts w:ascii="Times New Roman" w:hAnsi="Times New Roman" w:cs="Times New Roman"/>
        </w:rPr>
        <w:t>predation</w:t>
      </w:r>
      <w:r w:rsidRPr="00553649">
        <w:rPr>
          <w:rFonts w:ascii="Times New Roman" w:hAnsi="Times New Roman" w:cs="Times New Roman"/>
        </w:rPr>
        <w:t xml:space="preserve"> to cooperation and mutualisms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{"citationID":"PNLYKPFj","properties":{"formattedCitation":"(Deveau et al., 2018)","plainCitation":"(Deveau et al., 2018)","noteIndex":0},"citationItems":[{"id":1760,"uris":["http://zotero.org/users/6401767/items/9IIKLYXE"],"itemData":{"id":1760,"type":"article-journal","abstract":"Fungi and bacteria are found living together in a wide variety of environments. Their interactions are significant drivers of many ecosystem functions and are important for the health of plants and animals. A large number of fungal and bacterial families engage in complex interactions that lead to critical behavioural shifts of the microorganisms ranging from mutualism to antagonism. The importance of bacterial–fungal interactions (BFI) in environmental science, medicine and biotechnology has led to the emergence of a dynamic and multidisciplinary research field that combines highly diverse approaches including molecular biology, genomics, geochemistry, chemical and microbial ecology, biophysics and ecological modelling. In this review, we discuss recent advances that underscore the roles of BFI across relevant habitats and ecosystems. A particular focus is placed on the understanding of BFI within complex microbial communities and in regard of the metaorganism concept. We also discuss recent discoveries that clarify the (molecular) mechanisms involved in bacterial–fungal relationships, and the contribution of new technologies to decipher generic principles of BFI in terms of physical associations and molecular dialogues. Finally, we discuss future directions for research in order to stimulate synergy within the BFI research area and to resolve outstanding questions.","container-title":"FEMS Microbiology Reviews","DOI":"10.1093/femsre/fuy008","ISSN":"0168-6445","issue":"3","journalAbbreviation":"FEMS Microbiology Reviews","page":"335-352","source":"Silverchair","title":"Bacterial–fungal interactions: ecology, mechanisms and challenges","title-short":"Bacterial–fungal interactions","volume":"42","author":[{"family":"Deveau","given":"Aurélie"},{"family":"Bonito","given":"Gregory"},{"family":"Uehling","given":"Jessie"},{"family":"Paoletti","given":"Mathieu"},{"family":"Becker","given":"Matthias"},{"family":"Bindschedler","given":"Saskia"},{"family":"Hacquard","given":"Stéphane"},{"family":"Hervé","given":"Vincent"},{"family":"Labbé","given":"Jessy"},{"family":"Lastovetsky","given":"Olga A"},{"family":"Mieszkin","given":"Sophie"},{"family":"Millet","given":"Larry J"},{"family":"Vajna","given":"Balázs"},{"family":"Junier","given":"Pilar"},{"family":"Bonfante","given":"Paola"},{"family":"Krom","given":"Bastiaan P"},{"family":"Olsson","given":"Stefan"},{"family":"Elsas","given":"Jan Dirk","non-dropping-particle":"van"},{"family":"Wick","given":"Lukas Y"}],"issued":{"date-parts":[["2018",5,1]]}}}],"schema":"https://github.com/citation-style-language/schema/raw/master/csl-citation.json"}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 xml:space="preserve">(Deveau et </w:t>
      </w:r>
      <w:r w:rsidR="004D2321">
        <w:rPr>
          <w:rFonts w:ascii="Times New Roman" w:hAnsi="Times New Roman" w:cs="Times New Roman"/>
          <w:noProof/>
        </w:rPr>
        <w:lastRenderedPageBreak/>
        <w:t>al., 2018)</w:t>
      </w:r>
      <w:r w:rsidRPr="00553649">
        <w:rPr>
          <w:rFonts w:ascii="Times New Roman" w:hAnsi="Times New Roman" w:cs="Times New Roman"/>
        </w:rPr>
        <w:fldChar w:fldCharType="end"/>
      </w:r>
      <w:r w:rsidRPr="00553649">
        <w:rPr>
          <w:rFonts w:ascii="Times New Roman" w:hAnsi="Times New Roman" w:cs="Times New Roman"/>
        </w:rPr>
        <w:t xml:space="preserve">. The evolutionary arms race of competing bacterial/fungal species has led to complex arsenals of secondary metabolites that have been transformative in medicine and agriculture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{"citationID":"m41aRI0v","properties":{"formattedCitation":"(Dror et al., 2020; Vij et al., 2021)","plainCitation":"(Dror et al., 2020; Vij et al., 2021)","noteIndex":0},"citationItems":[{"id":1765,"uris":["http://zotero.org/users/6401767/items/CF644SWU"],"itemData":{"id":1765,"type":"article-journal","abstract":"Non-ribosomal peptides (NRPs) and polyketides (PKs) are among the most profuse families of secondary metabolites (SM) produced by bacteria. These compounds are believed to play an important ecological role in microbe-microbe and microbe-plant interactions in soil and roots microbiomes. Over the years, screening of NRPs and PKs in soil bacteria has resulted in high rates of rediscovery, mainly due to challenges associated with bacterial isolation. The quest to expose compounds in the hidden \"unculturable\" fraction of the soil microbiome, and to activate existing and novel SM gene clusters in cultivated bacteria, has facilitated a paradigm shift from traditional isolation-based natural product identification platforms to novel 'ecologically inspired' culturing techniques and cutting-edge culture-independent methods. This review provides a comprehensive overview of platforms and applications for studying secondary metabolites in soil and root environments, deliberating the benefits and limitations of the various approaches. Initially, it highlights innovative methodologies to \"culture the unculturable\" to uncover novel soil bacterial SM. Next, it explores \"culture-independent\" platforms for the identification of SM-synthesizing gene clusters through next generation sequencing and bioinformatics. It then evaluates innovative approaches for heterologous expression of metabolites from complex soil environments. Finally, it presents a conceptual integrated pipeline for evaluating the potential function and role of root-associated bacterial SM in suppressive soils that inhibit plant pathogens. This pipeline can be modified to address the ecological role of SM in other soil and root ecosystems, which can ultimately enhance our understanding of microbe-microbe and bacterial-plant interactions.","container-title":"Soil Biology and Biochemistry","DOI":"10.1016/j.soilbio.2020.107838","ISSN":"0038-0717","journalAbbreviation":"Soil Biology and Biochemistry","page":"107838","source":"ScienceDirect","title":"State-of-the-art methodologies to identify antimicrobial secondary metabolites in soil bacterial communities-A review","volume":"147","author":[{"family":"Dror","given":"Barak"},{"family":"Jurkevitch","given":"Edouard"},{"family":"Cytryn","given":"Eddie"}],"issued":{"date-parts":[["2020",8,1]]}}},{"id":369,"uris":["http://zotero.org/users/6401767/items/3DFHADX5"],"itemData":{"id":369,"type":"article-journal","abstract":"Many fungi can cause deadly diseases in humans, and nearly every human will suffer from some kind of fungal infection in their lives. Only few antifungals are available, and some of these fail to treat intrinsically resistant species and the ever-increasing number of fungal strains that have acquired resistance. In nature, bacteria and fungi display versatile interactions that range from friendly co-existence to predation. The first antifungal drugs, nystatin and amphotericin B, were discovered in bacteria as mediators of such interactions, and bacteria continue to be an important source of antifungals. To learn more about the ecological bacterial-fungal interactions that drive the evolution of natural products and exploit them, we need to identify environments where such interactions are pronounced, and diverse. Here, we systematically analyze historic and recent developments in this field to identify potentially under-investigated niches and resources. We also discuss alternative strategies to treat fungal infections by utilizing the antagonistic potential of bacteria to target fungal stress pathways and virulence factors, and thereby suppress the evolution of antifungal resistance.","container-title":"Computational and Structural Biotechnology Journal","DOI":"10.1016/j.csbj.2021.02.003","ISSN":"2001-0370","journalAbbreviation":"Computational and Structural Biotechnology Journal","page":"1244-1252","source":"ScienceDirect","title":"Uncharted territories in the discovery of antifungal and antivirulence natural products from bacteria","volume":"19","author":[{"family":"Vij","given":"Raghav"},{"family":"Hube","given":"Bernhard"},{"family":"Brunke","given":"Sascha"}],"issued":{"date-parts":[["2021",1,1]]}}}],"schema":"https://github.com/citation-style-language/schema/raw/master/csl-citation.json"}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noProof/>
        </w:rPr>
        <w:t>(Dror et al., 2020; Vij et al., 2021)</w:t>
      </w:r>
      <w:r w:rsidRPr="00553649">
        <w:rPr>
          <w:rFonts w:ascii="Times New Roman" w:hAnsi="Times New Roman" w:cs="Times New Roman"/>
        </w:rPr>
        <w:fldChar w:fldCharType="end"/>
      </w:r>
      <w:r w:rsidRPr="00553649">
        <w:rPr>
          <w:rFonts w:ascii="Times New Roman" w:hAnsi="Times New Roman" w:cs="Times New Roman"/>
        </w:rPr>
        <w:t xml:space="preserve">. As a result, the antifungal capabilities are </w:t>
      </w:r>
      <w:r w:rsidR="005A27CB">
        <w:rPr>
          <w:rFonts w:ascii="Times New Roman" w:hAnsi="Times New Roman" w:cs="Times New Roman"/>
        </w:rPr>
        <w:t xml:space="preserve">likely </w:t>
      </w:r>
      <w:r w:rsidRPr="00553649">
        <w:rPr>
          <w:rFonts w:ascii="Times New Roman" w:hAnsi="Times New Roman" w:cs="Times New Roman"/>
        </w:rPr>
        <w:t xml:space="preserve">not </w:t>
      </w:r>
      <w:r w:rsidR="005A27CB">
        <w:rPr>
          <w:rFonts w:ascii="Times New Roman" w:hAnsi="Times New Roman" w:cs="Times New Roman"/>
        </w:rPr>
        <w:t>restricted</w:t>
      </w:r>
      <w:r w:rsidRPr="00553649">
        <w:rPr>
          <w:rFonts w:ascii="Times New Roman" w:hAnsi="Times New Roman" w:cs="Times New Roman"/>
        </w:rPr>
        <w:t xml:space="preserve"> to amphibian-associated symbionts. Defensive symbionts associated with amphibian hosts show functional and phylogenetic redundancy in inhibiting the growth of Bd in laboratory assays. For example</w:t>
      </w:r>
      <w:r w:rsidRPr="004407B9">
        <w:rPr>
          <w:rFonts w:ascii="Times New Roman" w:hAnsi="Times New Roman" w:cs="Times New Roman"/>
        </w:rPr>
        <w:t>, Becker et al</w:t>
      </w:r>
      <w:r w:rsidRPr="00553649">
        <w:rPr>
          <w:rFonts w:ascii="Times New Roman" w:hAnsi="Times New Roman" w:cs="Times New Roman"/>
        </w:rPr>
        <w:t>.</w:t>
      </w:r>
      <w:r w:rsidRPr="00553649">
        <w:rPr>
          <w:rFonts w:ascii="Times New Roman" w:hAnsi="Times New Roman" w:cs="Times New Roman"/>
        </w:rPr>
        <w:fldChar w:fldCharType="begin"/>
      </w:r>
      <w:r w:rsidR="00AE0227" w:rsidRPr="00553649">
        <w:rPr>
          <w:rFonts w:ascii="Times New Roman" w:hAnsi="Times New Roman" w:cs="Times New Roman"/>
        </w:rPr>
        <w:instrText xml:space="preserve"> ADDIN ZOTERO_ITEM CSL_CITATION {"citationID":"YWfzcsqu","properties":{"formattedCitation":"(Becker et al., 2015)","plainCitation":"(Becker et al., 2015)","dontUpdate":true,"noteIndex":0},"citationItems":[{"id":293,"uris":["http://zotero.org/users/6401767/items/BLRUFAU5"],"itemData":{"id":293,"type":"article-journal","abstract":"The introduction of next-generation sequencing has allowed for greater understanding of community composition of symbiotic microbial communities. However, determining the function of individual members of these microbial communities still largely relies on culture-based methods. Here, we present results on the phylogenetic distribution of a defensive functional trait of cultured symbiotic bacteria associated with amphibians. Amphibians are host to a diverse community of cutaneous bacteria and some of these bacteria protect their host from the lethal fungal pathogen Batrachochytrium dendrobatidis (Bd) by secreting antifungal metabolites. We cultured over 450 bacterial isolates from the skins of Panamanian amphibian species and tested their interactions with Bd using an in vitro challenge assay. For a subset of isolates, we also completed coculture experiments and found that culturing isolates with Bd had no effect on inhibitory properties of the bacteria, but it significantly decreased metabolite secretion. In challenge assays, approximately 75% of the bacterial isolates inhibited Bd to some extent and these inhibitory isolates were widely distributed among all bacterial phyla. Although there was no clear phylogenetic signal of inhibition, three genera, Stenotrophomonas, Aeromonas and Pseudomonas, had a high proportion of inhibitory isolates (100%, 77% and 73%, respectively). Overall, our results demonstrate that antifungal properties are phylogenetically widespread in symbiotic microbial communities of Panamanian amphibians and that some functional redundancy for fungal inhibition occurs in these communities. We hope that these findings contribute to the discovery and development of probiotics for amphibians that can mitigate the threat of chytridiomycosis.","container-title":"Molecular Ecology","DOI":"10.1111/mec.13135","ISSN":"1365-294X","issue":"7","language":"en","note":"_eprint: https://onlinelibrary.wiley.com/doi/pdf/10.1111/mec.13135","page":"1628-1641","source":"Wiley Online Library","title":"Phylogenetic distribution of symbiotic bacteria from Panamanian amphibians that inhibit growth of the lethal fungal pathogen Batrachochytrium dendrobatidis","volume":"24","author":[{"family":"Becker","given":"Matthew H."},{"family":"Walke","given":"Jenifer B."},{"family":"Murrill","given":"Lindsey"},{"family":"Woodhams","given":"Douglas C."},{"family":"Reinert","given":"Laura K."},{"family":"Rollins-Smith","given":"Louise A."},{"family":"Burzynski","given":"Elizabeth A."},{"family":"Umile","given":"Thomas P."},{"family":"Minbiole","given":"Kevin P. C."},{"family":"Belden","given":"Lisa K."}],"issued":{"date-parts":[["2015"]]}}}],"schema":"https://github.com/citation-style-language/schema/raw/master/csl-citation.json"} </w:instrText>
      </w:r>
      <w:r w:rsidRPr="00553649">
        <w:rPr>
          <w:rFonts w:ascii="Times New Roman" w:hAnsi="Times New Roman" w:cs="Times New Roman"/>
        </w:rPr>
        <w:fldChar w:fldCharType="separate"/>
      </w:r>
      <w:r w:rsidRPr="00553649">
        <w:rPr>
          <w:rFonts w:ascii="Times New Roman" w:hAnsi="Times New Roman" w:cs="Times New Roman"/>
          <w:noProof/>
        </w:rPr>
        <w:t xml:space="preserve"> (2015)</w:t>
      </w:r>
      <w:r w:rsidRPr="00553649">
        <w:rPr>
          <w:rFonts w:ascii="Times New Roman" w:hAnsi="Times New Roman" w:cs="Times New Roman"/>
        </w:rPr>
        <w:fldChar w:fldCharType="end"/>
      </w:r>
      <w:r w:rsidRPr="00553649">
        <w:rPr>
          <w:rFonts w:ascii="Times New Roman" w:hAnsi="Times New Roman" w:cs="Times New Roman"/>
        </w:rPr>
        <w:t xml:space="preserve"> noted approximately 75% of bacteria associated with Panamanian frogs were capable of </w:t>
      </w:r>
      <w:r w:rsidR="00B243E0">
        <w:rPr>
          <w:rFonts w:ascii="Times New Roman" w:hAnsi="Times New Roman" w:cs="Times New Roman"/>
        </w:rPr>
        <w:t xml:space="preserve">inhibiting </w:t>
      </w:r>
      <w:r w:rsidRPr="00553649">
        <w:rPr>
          <w:rFonts w:ascii="Times New Roman" w:hAnsi="Times New Roman" w:cs="Times New Roman"/>
        </w:rPr>
        <w:t xml:space="preserve">Bd during challenge assays. Similarly, </w:t>
      </w:r>
      <w:r w:rsidRPr="004407B9">
        <w:rPr>
          <w:rFonts w:ascii="Times New Roman" w:hAnsi="Times New Roman" w:cs="Times New Roman"/>
        </w:rPr>
        <w:t xml:space="preserve">Barnes et al. </w:t>
      </w:r>
      <w:r w:rsidRPr="004407B9">
        <w:rPr>
          <w:rFonts w:ascii="Times New Roman" w:hAnsi="Times New Roman" w:cs="Times New Roman"/>
        </w:rPr>
        <w:fldChar w:fldCharType="begin"/>
      </w:r>
      <w:r w:rsidR="00AE0227" w:rsidRPr="004407B9">
        <w:rPr>
          <w:rFonts w:ascii="Times New Roman" w:hAnsi="Times New Roman" w:cs="Times New Roman"/>
        </w:rPr>
        <w:instrText xml:space="preserve"> ADDIN ZOTERO_ITEM CSL_CITATION {"citationID":"riMEtxUv","properties":{"formattedCitation":"(Barnes, Carter, et al., 2020)","plainCitation":"(Barnes, Carter, et al., 2020)","dontUpdate":true,"noteIndex":0},"citationItems":[{"id":174,"uris":["http://zotero.org/users/6401767/items/PL78WH5A"],"itemData":{"id":174,"type":"article-journal","abstract":"Variation in the microbiome among individual organisms may play a critical role in the relative susceptibility of those organisms to infection, disease and death. However, predicting microbiome function is difficult because of spatial and temporal variation in microbial diversity, and taxonomic diversity is not predictive of microbiome functional diversity. Addressing this issue may be particularly important when addressing pandemic diseases, such as the global amphibian die-off associated with Bd. Some of the most important factors in probiotic development for disease treatment are whether bacteria with desired function can be found on native amphibians in the local environment. To address this issue, we isolated, sequenced, and assayed the cutaneous bacterial communities of Plethodon cinereus along a gradient of land use change. Our results suggest that cutaneous community composition, but not overall diversity, change with changes in land use, but this does not correspond to significant change in Bd-inhibitory function. We found that Bd-inhibition is a functionally redundant trait, but that level of inhibition varies over phylogenetic, spatial, and temporal scales. This research provides further evidence for examining the whole microbial community, including biotic and abiotic interactions, when considering disease dynamics.","container-title":"Frontiers in Microbiology","DOI":"10.3389/fmicb.2020.00101","ISSN":"1664-302X","journalAbbreviation":"Front. Microbiol.","language":"English","note":"publisher: Frontiers","source":"Frontiers","title":"Predicting Microbiome Function Across Space Is Confounded by Strain-Level Differences and Functional Redundancy Across Taxa","URL":"https://www.frontiersin.org/articles/10.3389/fmicb.2020.00101/full","volume":"11","author":[{"family":"Barnes","given":"Elle M."},{"family":"Carter","given":"Erin L."},{"family":"Lewis","given":"J. D."}],"accessed":{"date-parts":[["2020",12,4]]},"issued":{"date-parts":[["2020"]]}}}],"schema":"https://github.com/citation-style-language/schema/raw/master/csl-citation.json"} </w:instrText>
      </w:r>
      <w:r w:rsidRPr="004407B9">
        <w:rPr>
          <w:rFonts w:ascii="Times New Roman" w:hAnsi="Times New Roman" w:cs="Times New Roman"/>
        </w:rPr>
        <w:fldChar w:fldCharType="separate"/>
      </w:r>
      <w:r w:rsidRPr="004407B9">
        <w:rPr>
          <w:rFonts w:ascii="Times New Roman" w:hAnsi="Times New Roman" w:cs="Times New Roman"/>
          <w:noProof/>
        </w:rPr>
        <w:t>(2020)</w:t>
      </w:r>
      <w:r w:rsidRPr="004407B9">
        <w:rPr>
          <w:rFonts w:ascii="Times New Roman" w:hAnsi="Times New Roman" w:cs="Times New Roman"/>
        </w:rPr>
        <w:fldChar w:fldCharType="end"/>
      </w:r>
      <w:r w:rsidRPr="00553649">
        <w:rPr>
          <w:rFonts w:ascii="Times New Roman" w:hAnsi="Times New Roman" w:cs="Times New Roman"/>
        </w:rPr>
        <w:t xml:space="preserve"> found Bd inhibition in bacteria isolated from salamander skin was represented across multiple bacteria phyla and showed little evidence of trait-associated phylogenetic relatedness, with high intra-genus variation in suppressing the growth of Bd in challenge assays. Together, this implies the anti-fungal capabilities of symbionts associated with amphibian skin are likely widespread in environmental reservoirs and could show affinity for host </w:t>
      </w:r>
      <w:r w:rsidR="00C928A4" w:rsidRPr="00553649">
        <w:rPr>
          <w:rFonts w:ascii="Times New Roman" w:hAnsi="Times New Roman" w:cs="Times New Roman"/>
        </w:rPr>
        <w:t>conditions but</w:t>
      </w:r>
      <w:r w:rsidRPr="00553649">
        <w:rPr>
          <w:rFonts w:ascii="Times New Roman" w:hAnsi="Times New Roman" w:cs="Times New Roman"/>
        </w:rPr>
        <w:t xml:space="preserve"> are not necessarily engaging in persistent mutualism</w:t>
      </w:r>
      <w:r w:rsidR="006740D4" w:rsidRPr="00553649">
        <w:rPr>
          <w:rFonts w:ascii="Times New Roman" w:hAnsi="Times New Roman" w:cs="Times New Roman"/>
        </w:rPr>
        <w:t>s</w:t>
      </w:r>
      <w:r w:rsidRPr="00553649">
        <w:rPr>
          <w:rFonts w:ascii="Times New Roman" w:hAnsi="Times New Roman" w:cs="Times New Roman"/>
        </w:rPr>
        <w:t>.</w:t>
      </w:r>
    </w:p>
    <w:p w14:paraId="05F960CE" w14:textId="7343369A" w:rsidR="00552D39" w:rsidRPr="00553649" w:rsidRDefault="00553649" w:rsidP="00552D39">
      <w:pPr>
        <w:pStyle w:val="Heading2"/>
        <w:rPr>
          <w:rFonts w:ascii="Times New Roman" w:hAnsi="Times New Roman" w:cs="Times New Roman"/>
        </w:rPr>
      </w:pPr>
      <w:bookmarkStart w:id="6" w:name="_Toc165028045"/>
      <w:r>
        <w:rPr>
          <w:rFonts w:ascii="Times New Roman" w:hAnsi="Times New Roman" w:cs="Times New Roman"/>
        </w:rPr>
        <w:t xml:space="preserve">Chapter </w:t>
      </w:r>
      <w:r w:rsidR="008A6662">
        <w:rPr>
          <w:rFonts w:ascii="Times New Roman" w:hAnsi="Times New Roman" w:cs="Times New Roman"/>
        </w:rPr>
        <w:t>o</w:t>
      </w:r>
      <w:r>
        <w:rPr>
          <w:rFonts w:ascii="Times New Roman" w:hAnsi="Times New Roman" w:cs="Times New Roman"/>
        </w:rPr>
        <w:t>verviews</w:t>
      </w:r>
      <w:bookmarkStart w:id="7" w:name="_Toc160981574"/>
      <w:bookmarkEnd w:id="6"/>
    </w:p>
    <w:p w14:paraId="730F3A28" w14:textId="5CD328DD" w:rsidR="00552D39" w:rsidRPr="00553649" w:rsidRDefault="00552D39" w:rsidP="00552D39">
      <w:pPr>
        <w:spacing w:line="360" w:lineRule="auto"/>
        <w:ind w:firstLine="720"/>
        <w:rPr>
          <w:rFonts w:ascii="Times New Roman" w:hAnsi="Times New Roman" w:cs="Times New Roman"/>
        </w:rPr>
      </w:pPr>
      <w:r w:rsidRPr="00553649">
        <w:rPr>
          <w:rFonts w:ascii="Times New Roman" w:hAnsi="Times New Roman" w:cs="Times New Roman"/>
        </w:rPr>
        <w:t xml:space="preserve">A growing body of evidence suggests hosts receive benefits from interacting with individual and collective symbionts, and thus a key step in understanding the associations and maintenance of symbionts is assessing the relative strengths of host traits and environmental colonization in structuring host-associated communities. Several authors have additionally noted the consistency of evolutionary history in explaining microbial community dissimilarity, implying a link between host traits and microbial assemblages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{"citationID":"a23djfjc8m3","properties":{"formattedCitation":"(Lim &amp; Bordenstein, 2020; Mazel et al., 2018)","plainCitation":"(Lim &amp; Bordenstein, 2020; Mazel et al., 2018)","noteIndex":0},"citationItems":[{"id":464,"uris":["http://zotero.org/users/6401767/items/AVGG84U9"],"itemData":{"id":464,"type":"article-journal","abstract":"Phylosymbiosis was recently formulated to support a hypothesis-driven framework for the characterization of a new, cross-system trend in host-associated microbiomes. Defining phylosymbiosis as ‘microbial community relationships that recapitulate the phylogeny of their host’, we review the relevant literature and data in the last decade, emphasizing frequently used methods and regular patterns observed in analyses. Quantitative support for phylosymbiosis is provided by statistical methods evaluating higher microbiome variation between host species than within host species, topological similarities between the host phylogeny and microbiome dendrogram, and a positive association between host genetic relationships and microbiome beta diversity. Significant degrees of phylosymbiosis are prevalent, but not universal, in microbiomes of plants and animals from terrestrial and aquatic habitats. Consistent with natural selection shaping phylosymbiosis, microbiome transplant experiments demonstrate reduced host performance and/or fitness upon host–microbiome mismatches. Hybridization can also disrupt phylosymbiotic microbiomes and cause hybrid pathologies. The pervasiveness of phylosymbiosis carries several important implications for advancing knowledge of eco-evolutionary processes that impact host–microbiome interactions and future applications of precision microbiology. Important future steps will be to examine phylosymbiosis beyond bacterial communities, apply evolutionary modelling for an increasingly sophisticated understanding of phylosymbiosis, and unravel the host and microbial mechanisms that contribute to the pattern. This review serves as a gateway to experimental, conceptual and quantitative themes of phylosymbiosis and outlines opportunities ripe for investigation from a diversity of disciplines.","container-title":"Proceedings of the Royal Society B: Biological Sciences","DOI":"10.1098/rspb.2019.2900","issue":"1922","journalAbbreviation":"Proceedings of the Royal Society B: Biological Sciences","note":"publisher: Royal Society","page":"20192900","source":"royalsocietypublishing.org (Atypon)","title":"An introduction to phylosymbiosis","volume":"287","author":[{"family":"Lim","given":"Shen Jean"},{"family":"Bordenstein","given":"Seth R."}],"issued":{"date-parts":[["2020",3,11]]}}},{"id":457,"uris":["http://zotero.org/users/6401767/items/E2TQ65PT"],"itemData":{"id":457,"type":"article-journal","container-title":"mSystems","DOI":"10.1128/mSystems.00097-18","ISSN":"2379-5077","issue":"5","page":"e00097-18","source":"PubMed","title":"Is Host Filtering the Main Driver of Phylosymbiosis across the Tree of Life?","volume":"3","author":[{"family":"Mazel","given":"Florent"},{"family":"Davis","given":"Katherine M"},{"family":"Loudon","given":"Andrew"},{"family":"Kwong","given":"Waldan K"},{"family":"Groussin","given":"Mathieu"},{"family":"Parfrey","given":"Laura Wegener"}],"issued":{"date-parts":[["2018",10,23]]}}}],"schema":"https://github.com/citation-style-language/schema/raw/master/csl-citation.json"}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(Lim &amp; Bordenstein, 2020; Mazel et al., 2018)</w:t>
      </w:r>
      <w:r w:rsidRPr="00553649">
        <w:rPr>
          <w:rFonts w:ascii="Times New Roman" w:hAnsi="Times New Roman" w:cs="Times New Roman"/>
        </w:rPr>
        <w:fldChar w:fldCharType="end"/>
      </w:r>
      <w:r w:rsidRPr="00553649">
        <w:rPr>
          <w:rFonts w:ascii="Times New Roman" w:hAnsi="Times New Roman" w:cs="Times New Roman"/>
        </w:rPr>
        <w:t xml:space="preserve">. Host traits, such as genes of the major histocompatibility complex, antimicrobial peptides, and mucins can act as selective filters for microbes leading to non-random colonization and persistence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{"citationID":"a1cr84jejrt","properties":{"formattedCitation":"(Belley et al., 1999; Davies et al., 2022; Falk et al., 1998)","plainCitation":"(Belley et al., 1999; Davies et al., 2022; Falk et al., 1998)","noteIndex":0},"citationItems":[{"id":1859,"uris":["http://zotero.org/users/6401767/items/QEP8A5RN"],"itemData":{"id":1859,"type":"article-journal","abstract":"Studying the cross talk between nonpathogenic organisms and their mammalian hosts represents an experimental challenge because these interactions are typically subtle and the microbial societies that associate with mammalian hosts are very complex and dynamic. A large, functionally stable, climax community of microbes is maintained in the murine and human gastrointestinal tracts. This open ecosystem exhibits not only regional differences in the composition of its microbiota but also regional differences in the differentiation programs of its epithelial cells and in the spatial distribution of its component immune cells. A key experimental strategy for determining whether “nonpathogenic” microorganisms actively create their own regional habitats in this ecosystem is to define cellular function in germ-free animals and then evaluate the effects of adding single or several microbial species. This review focuses on how gnotobiotics—the study of germ-free animals—has been and needs to be used to examine how the gastrointestinal ecosystem is created and maintained. Areas discussed include the generation of simplified ecosystems by using genetically manipulatable microbes and hosts to determine whether components of the microbiota actively regulate epithelial differentiation to create niches for themselves and for other organisms; the ways in which gnotobiology can help reveal collaborative interactions among the microbiota, epithelium, and mucosal immune system; and the ways in which gnotobiology is and will be useful for identifying host and microbial factors that define the continuum between nonpathogenic and pathogenic. A series of tests of microbial contributions to several pathologic states, using germ-free and ex-germ-free mice, are proposed.","container-title":"Microbiology and Molecular Biology Reviews","ISSN":"1092-2172","issue":"4","journalAbbreviation":"Microbiol Mol Biol Rev","note":"PMID: 9841668\nPMCID: PMC98942","page":"1157-1170","source":"PubMed Central","title":"Creating and Maintaining the Gastrointestinal Ecosystem: What We Know and Need To Know from Gnotobiology","title-short":"Creating and Maintaining the Gastrointestinal Ecosystem","volume":"62","author":[{"family":"Falk","given":"Per G."},{"family":"Hooper","given":"Lora V."},{"family":"Midtvedt","given":"Tore"},{"family":"Gordon","given":"Jeffrey I."}],"issued":{"date-parts":[["1998",12]]}}},{"id":1862,"uris":["http://zotero.org/users/6401767/items/VWECDHY3"],"itemData":{"id":1862,"type":"article-journal","abstract":"Intestinal mucins are key components of the first line of host defense against intestinal pathogens. These large glycoconjugates secreted by specialized exocrine goblet cells form viscous gels that trap microorganisms and irritants and limit their diffusion to the intestinal epithelium. Moreover, they allow for colonization by indigenous bacterial flora that prevents attachment of pathogenic microbes. The interaction between microbes and mucins involves mucin carbohydrate side chains and microbial adhesin molecules. Certain microorganisms and disease states may alter mucin biochemistry or expression. Although these alterations most likely contribute to disease processes, the full impact of these phenomena are still unclear. The development of mucin-secreting cell lines has facilitated the study of mucin biology and aided our understanding of mucin-microbial interactions.","container-title":"The American Journal of Tropical Medicine and Hygiene","DOI":"10.4269/ajtmh.1999.60.10","issue":"4_suppl","language":"EN","note":"section: The American Journal of Tropical Medicine and Hygiene","page":"10-15","source":"www.ajtmh.org","title":"Intestinal mucins in colonization and host defense against pathogens.","volume":"60","author":[{"family":"Belley","given":"A."},{"family":"Keller","given":"K."},{"family":"Göttke","given":"M."},{"family":"Chadee","given":"K."}],"issued":{"date-parts":[["1999",4,1]]}}},{"id":1857,"uris":["http://zotero.org/users/6401767/items/RBBV2F6P"],"itemData":{"id":1857,"type":"article-journal","abstract":"The  gut microbiome (GM) can influence many biological processes in the host, impacting its health and survival, but the GM can also be influenced by the host’s traits. In vertebrates, Major Histocompatibility Complex (MHC) genes play a pivotal role in combatting pathogens and are thought to shape the host’s GM. Despite this—and the documented importance of both GM and MHC variation to individual fitness—few studies have investigated the association between the GM and MHC in the wild.","container-title":"Microbiome","DOI":"10.1186/s40168-022-01233-y","ISSN":"2049-2618","issue":"1","journalAbbreviation":"Microbiome","language":"en","page":"41","source":"Springer Link","title":"Immunogenetic variation shapes the gut microbiome in a natural vertebrate population","volume":"10","author":[{"family":"Davies","given":"Charli S."},{"family":"Worsley","given":"Sarah F."},{"family":"Maher","given":"Kathryn H."},{"family":"Komdeur","given":"Jan"},{"family":"Burke","given":"Terry"},{"family":"Dugdale","given":"Hannah L."},{"family":"Richardson","given":"David S."}],"issued":{"date-parts":[["2022",3,8]]}}}],"schema":"https://github.com/citation-style-language/schema/raw/master/csl-citation.json"}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(Belley et al., 1999; Davies et al., 2022; Falk et al., 1998)</w:t>
      </w:r>
      <w:r w:rsidRPr="00553649">
        <w:rPr>
          <w:rFonts w:ascii="Times New Roman" w:hAnsi="Times New Roman" w:cs="Times New Roman"/>
        </w:rPr>
        <w:fldChar w:fldCharType="end"/>
      </w:r>
      <w:r w:rsidRPr="00553649">
        <w:rPr>
          <w:rFonts w:ascii="Times New Roman" w:hAnsi="Times New Roman" w:cs="Times New Roman"/>
        </w:rPr>
        <w:t xml:space="preserve">. Communities associated with amphibians are hypothesized to be more influenced by habitat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{"citationID":"arna3urse8","properties":{"formattedCitation":"(Allison, 2012)","plainCitation":"(Allison, 2012)","noteIndex":0},"citationItems":[{"id":"aW8cvW4I/MK38OuSi","uris":["http://zotero.org/users/6401767/items/TSFN63VQ"],"itemData":{"id":314,"type":"article-journal","abstract":"Semantic Scholar extracted view of &amp;quot;Diffuse interactions between symbiotic bacteria and salamanders&amp;quot; by A. Allison","container-title":"undefined","language":"en","source":"www.semanticscholar.org","title":"Diffuse interactions between symbiotic bacteria and salamanders","URL":"https://www.semanticscholar.org/paper/Diffuse-interactions-between-symbiotic-bacteria-and-Allison/2923fdcae79974fb1167975d8b046d88e2503787","author":[{"family":"Allison","given":"A."}],"accessed":{"date-parts":[["2021",10,23]]},"issued":{"date-parts":[["2012"]]}}}],"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(Allison, 2012)</w:t>
      </w:r>
      <w:r w:rsidRPr="00553649">
        <w:rPr>
          <w:rFonts w:ascii="Times New Roman" w:hAnsi="Times New Roman" w:cs="Times New Roman"/>
        </w:rPr>
        <w:fldChar w:fldCharType="end"/>
      </w:r>
      <w:r w:rsidRPr="00553649">
        <w:rPr>
          <w:rFonts w:ascii="Times New Roman" w:hAnsi="Times New Roman" w:cs="Times New Roman"/>
        </w:rPr>
        <w:t xml:space="preserve">, but others have suggested community specificity pertaining to host genera and species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{"citationID":"agg60vpag2","properties":{"formattedCitation":"(A. Hill et al., 2022; Osborne et al., 2024; Ram\\uc0\\u237{}rez-Barahona et al., 2023)","plainCitation":"(A. Hill et al., 2022; Osborne et al., 2024; Ramírez-Barahona et al., 2023)","noteIndex":0},"citationItems":[{"id":"aW8cvW4I/FfxlTnY7","uris":["http://zotero.org/users/6401767/items/N349IHJN"],"itemData":{"id":276,"type":"report","abstract":"Abstract\n          Bacterial assemblages on the skins of amphibians are known to affect pathogen resistance and other important physiological functions in the host. Host-specific factors and the environment play significant roles in structuring skin assemblages. This study used high-throughput 16S rRNA sequencing and multivariate analyses to examine differences in skin-bacterial assemblages from 246 salamanders belonging to three genera in the lungless family Plethodontidae along multiple spatial and temporal gradients. Composition and α- and β-diversity of bacterial assemblages were defined, and the relative influences of host- versus environment-specific ecological factors were evaluated. At the broadest spatial scale, host genus and sampling site were both predictive of skin assemblage structure, but host-specific variation was more influential after controlling for the marginal effects of site, as well as nestedness of site. Furthermore, assemblage similarity within each host genus did not change with increasing geographic distance. At the smallest spatial scale, site-specific climate analyses revealed different relationships to climatic variables for each of the three genera, and these relationships were determined by host ecomode. Variation in bacterial assemblages of terrestrial hosts correlated with terrestrial climatic variability, and this pattern decayed with increasing water dependence. Results from this study highlight host-specific considerations for researchers studying wildlife diseases in co-occurring, yet ecologically divergent, species.","genre":"preprint","language":"en","note":"DOI: 10.21203/rs.3.rs-1325435/v1","publisher":"In Review","source":"DOI.org (Crossref)","title":"Bacterial Skin Assemblages of Sympatric Salamanders are Primarily Shaped by Host Genus","URL":"https://www.researchsquare.com/article/rs-1325435/v1","author":[{"family":"Hill","given":"Aubree"},{"family":"Grisnik","given":"Matthew"},{"family":"Walker","given":"Donald M."}],"accessed":{"date-parts":[["2022",6,29]]},"issued":{"date-parts":[["2022",2,17]]}}},{"id":1814,"uris":["http://zotero.org/users/6401767/items/R863FFKP"],"itemData":{"id":1814,"type":"article-journal","abstract":"The composition and diversity of animal-associated microbial communities are shaped by multiple ecological and evolutionary processes acting at different spatial and temporal scales. Skin microbiomes are thought to be strongly influenced by the environment due to the direct interaction of the host’s skin with the external media. As expected, the diversity of amphibian skin microbiomes is shaped by climate and host sampling habitats, whereas phylogenetic effects appear to be weak. However, the relative strength of phylogenetic and environmental effects on salamander skin microbiomes remains poorly understood. Here, we analysed sequence data from 1164 adult salamanders of 44 species to characterise and compare the diversity and composition of skin bacteria. We assessed the relative contribution of climate, host sampling habitat, and host phylogeny to the observed patterns of bacterial diversity. We found that bacterial alpha diversity was mainly associated with host sampling habitat and climate, but that bacterial beta diversity was more strongly associated with host taxonomy and phylogeny. This phylogenetic effect predominantly occurred at intermediate levels of host divergence (0–50 Mya). Our results support the importance of environmental factors shaping the diversity of salamander skin microbiota, but also support host phylogenetic history as a major factor shaping these bacterial communities.","container-title":"Animal Microbiome","DOI":"10.1186/s42523-023-00271-7","ISSN":"2524-4671","issue":"1","journalAbbreviation":"Animal Microbiome","page":"52","source":"BioMed Central","title":"Host phylogeny and environment shape the diversity of salamander skin bacterial communities","volume":"5","author":[{"family":"Ramírez-Barahona","given":"S."},{"family":"González-Serrano","given":"F. M."},{"family":"Martínez-Ugalde","given":"E."},{"family":"Soto-Pozos","given":"A."},{"family":"Parra-Olea","given":"G."},{"family":"Rebollar","given":"E. A."}],"issued":{"date-parts":[["2023",10,13]]}}},{"id":"aW8cvW4I/w1jAogck","uris":["http://zotero.org/users/6401767/items/HDDNLET4"],"itemData":{"id":1817,"type":"webpage","abstract":"Phylosymbiosis is an association between host-associated microbiome and host phylogeny. This pattern can arise via evolution of host traits, habitat preferences, diets, and co-diversification of hosts and microbes. Understanding the drivers of phylosymbiosis is vital for modelling disease-microbi...","language":"en","note":"DOI: 10.21203/rs.3.rs-3773072/v1","title":"Phylosymbiosis drives the distribution of pathogen-protective bacteria in Appalachian salamanders","URL":"https://www.researchsquare.com","author":[{"family":"Osborne","given":"Owen"},{"family":"Jiménez","given":"Randall"},{"family":"Byrne","given":"Allison Q."},{"family":"Gratwicke","given":"Brian"},{"family":"Ellison","given":"Amy"},{"family":"Muletz-Wolz","given":"Carly R."}],"accessed":{"date-parts":[["2024",3,10]]},"issued":{"date-parts":[["2024",1,4]]}}}],"schema":"https://github.com/citation-style-language/schema/raw/master/csl-citation.json"} </w:instrText>
      </w:r>
      <w:r w:rsidRPr="00553649">
        <w:rPr>
          <w:rFonts w:ascii="Times New Roman" w:hAnsi="Times New Roman" w:cs="Times New Roman"/>
        </w:rPr>
        <w:fldChar w:fldCharType="separate"/>
      </w:r>
      <w:r w:rsidR="004D2321" w:rsidRPr="004D2321">
        <w:rPr>
          <w:rFonts w:ascii="Times New Roman" w:hAnsi="Times New Roman" w:cs="Times New Roman"/>
        </w:rPr>
        <w:t>(A. Hill et al., 2022; Osborne et al., 2024; Ramírez-Barahona et al., 2023)</w:t>
      </w:r>
      <w:r w:rsidRPr="00553649">
        <w:rPr>
          <w:rFonts w:ascii="Times New Roman" w:hAnsi="Times New Roman" w:cs="Times New Roman"/>
        </w:rPr>
        <w:fldChar w:fldCharType="end"/>
      </w:r>
      <w:r w:rsidRPr="00553649">
        <w:rPr>
          <w:rFonts w:ascii="Times New Roman" w:hAnsi="Times New Roman" w:cs="Times New Roman"/>
        </w:rPr>
        <w:t xml:space="preserve">. In </w:t>
      </w:r>
      <w:r w:rsidRPr="00553649">
        <w:rPr>
          <w:rFonts w:ascii="Times New Roman" w:hAnsi="Times New Roman" w:cs="Times New Roman"/>
          <w:b/>
          <w:bCs/>
        </w:rPr>
        <w:t>Chapter 1</w:t>
      </w:r>
      <w:r w:rsidRPr="00553649">
        <w:rPr>
          <w:rFonts w:ascii="Times New Roman" w:hAnsi="Times New Roman" w:cs="Times New Roman"/>
        </w:rPr>
        <w:t xml:space="preserve">, I assess the similarity and differentiation of host-associated communities for five species of salamanders and their immediate cover objects in an aquatic-terrestrial interface to determine the role habitat and host phylogeny play in shaping the amphibian skin microbiome. </w:t>
      </w:r>
    </w:p>
    <w:p w14:paraId="2A3707E5" w14:textId="30F165E7" w:rsidR="00552D39" w:rsidRPr="00553649" w:rsidRDefault="00552D39" w:rsidP="00552D39">
      <w:pPr>
        <w:spacing w:line="360" w:lineRule="auto"/>
        <w:ind w:firstLine="720"/>
        <w:rPr>
          <w:rFonts w:ascii="Times New Roman" w:hAnsi="Times New Roman" w:cs="Times New Roman"/>
        </w:rPr>
      </w:pPr>
      <w:r w:rsidRPr="00553649">
        <w:rPr>
          <w:rFonts w:ascii="Times New Roman" w:hAnsi="Times New Roman" w:cs="Times New Roman"/>
        </w:rPr>
        <w:lastRenderedPageBreak/>
        <w:t xml:space="preserve">Host-associated communities are comprised of varying strengths of deterministic and stochastic processes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{"citationID":"a189el15i1h","properties":{"formattedCitation":"(Hubbell, 2005; Nemergut et al., 2013; Vellend, 2010)","plainCitation":"(Hubbell, 2005; Nemergut et al., 2013; Vellend, 2010)","noteIndex":0},"citationItems":[{"id":466,"uris":["http://zotero.org/users/6401767/items/7MIMSZG4"],"itemData":{"id":466,"type":"article-journal","container-title":"Microbiology and Molecular Biology Reviews","DOI":"10.1128/MMBR.00051-12","ISSN":"1092-2172","issue":"3","journalAbbreviation":"Microbiology and Molecular Biology Reviews","language":"en","page":"342-356","source":"DOI.org (Crossref)","title":"Patterns and Processes of Microbial Community Assembly","volume":"77","author":[{"family":"Nemergut","given":"D. R."},{"family":"Schmidt","given":"S. K."},{"family":"Fukami","given":"T."},{"family":"O'Neill","given":"S. P."},{"family":"Bilinski","given":"T. M."},{"family":"Stanish","given":"L. F."},{"family":"Knelman","given":"J. E."},{"family":"Darcy","given":"J. L."},{"family":"Lynch","given":"R. C."},{"family":"Wickey","given":"P."},{"family":"Ferrenberg","given":"S."}],"issued":{"date-parts":[["2013",9,1]]}}},{"id":497,"uris":["http://zotero.org/users/6401767/items/F5CKJ94Z"],"itemData":{"id":497,"type":"article-journal","abstract":"Community ecology is often perceived as a \"mess, \"given the seemingly vast number of processes that can underlie the many patterns of interest, and the apparent uniqueness of each study system. However, at the most general level, patterns in the composition and diversity of species--the subject matter of community ecology--are influenced by only four classes of process: selection, drift, speciation, and dispersal. Selection represents deterministic fitness differences among species, drift represents stochastic changes in species abundance, speciation creates new species, and dispersal is the movement of organisms across space. All theoretical and conceptual models in community ecology can be understood with respect to their emphasis on these four processes. Empirical evidence exists for all of these processes and many of their interactions, with a predominance of studies on selection. Organizing the material of community ecology according to this framework can clarify the essential similarities and differences among the many conceptual and theoretical approaches to the discipline, and it can also allow for the articulation of a very general theory of community dynamics: species are added to communities via speciation and dispersal, and the relative abundances of these species are then shaped by drift and selection, as well as ongoing dispersal to drive community dynamics.","container-title":"The Quarterly Review of Biology","DOI":"10.1086/652373","ISSN":"0033-5770","issue":"2","journalAbbreviation":"Q Rev Biol","language":"eng","note":"PMID: 20565040","page":"183-206","source":"PubMed","title":"Conceptual synthesis in community ecology","volume":"85","author":[{"family":"Vellend","given":"Mark"}],"issued":{"date-parts":[["2010",6]]}}},{"id":1940,"uris":["http://zotero.org/users/6401767/items/WLEA84QI"],"itemData":{"id":1940,"type":"article-journal","container-title":"Functional Ecology","language":"en","source":"Zotero","title":"Neutral theory in community ecology and the hypothesis of functional equivalence","author":[{"family":"Hubbell","given":"Stephen P"}],"issued":{"date-parts":[["2005"]]}}}],"schema":"https://github.com/citation-style-language/schema/raw/master/csl-citation.json"}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(Hubbell, 2005; Nemergut et al., 2013; Vellend, 2010)</w:t>
      </w:r>
      <w:r w:rsidRPr="00553649">
        <w:rPr>
          <w:rFonts w:ascii="Times New Roman" w:hAnsi="Times New Roman" w:cs="Times New Roman"/>
        </w:rPr>
        <w:fldChar w:fldCharType="end"/>
      </w:r>
      <w:r w:rsidRPr="00553649">
        <w:rPr>
          <w:rFonts w:ascii="Times New Roman" w:hAnsi="Times New Roman" w:cs="Times New Roman"/>
        </w:rPr>
        <w:t xml:space="preserve">. Results from Chapter 1 </w:t>
      </w:r>
      <w:r w:rsidR="008E5299">
        <w:rPr>
          <w:rFonts w:ascii="Times New Roman" w:hAnsi="Times New Roman" w:cs="Times New Roman"/>
        </w:rPr>
        <w:t>discovered</w:t>
      </w:r>
      <w:r w:rsidRPr="00553649">
        <w:rPr>
          <w:rFonts w:ascii="Times New Roman" w:hAnsi="Times New Roman" w:cs="Times New Roman"/>
        </w:rPr>
        <w:t xml:space="preserve"> amphibian-associated communities were </w:t>
      </w:r>
      <w:r w:rsidR="00915E8A" w:rsidRPr="00553649">
        <w:rPr>
          <w:rFonts w:ascii="Times New Roman" w:hAnsi="Times New Roman" w:cs="Times New Roman"/>
        </w:rPr>
        <w:t xml:space="preserve">statistically </w:t>
      </w:r>
      <w:r w:rsidRPr="00553649">
        <w:rPr>
          <w:rFonts w:ascii="Times New Roman" w:hAnsi="Times New Roman" w:cs="Times New Roman"/>
        </w:rPr>
        <w:t xml:space="preserve">differentiated from cover objects </w:t>
      </w:r>
      <w:proofErr w:type="gramStart"/>
      <w:r w:rsidRPr="00553649">
        <w:rPr>
          <w:rFonts w:ascii="Times New Roman" w:hAnsi="Times New Roman" w:cs="Times New Roman"/>
        </w:rPr>
        <w:t xml:space="preserve">and </w:t>
      </w:r>
      <w:r w:rsidR="00FE3DF9" w:rsidRPr="00553649">
        <w:rPr>
          <w:rFonts w:ascii="Times New Roman" w:hAnsi="Times New Roman" w:cs="Times New Roman"/>
        </w:rPr>
        <w:t>also</w:t>
      </w:r>
      <w:proofErr w:type="gramEnd"/>
      <w:r w:rsidR="00FE3DF9" w:rsidRPr="00553649">
        <w:rPr>
          <w:rFonts w:ascii="Times New Roman" w:hAnsi="Times New Roman" w:cs="Times New Roman"/>
        </w:rPr>
        <w:t xml:space="preserve"> displayed high inter-host dissimilarity, </w:t>
      </w:r>
      <w:r w:rsidRPr="00553649">
        <w:rPr>
          <w:rFonts w:ascii="Times New Roman" w:hAnsi="Times New Roman" w:cs="Times New Roman"/>
        </w:rPr>
        <w:t xml:space="preserve">showing only subtle similarities in the form of indicator taxa. This refutes strong deterministic processes </w:t>
      </w:r>
      <w:r w:rsidR="00FE3DF9" w:rsidRPr="00553649">
        <w:rPr>
          <w:rFonts w:ascii="Times New Roman" w:hAnsi="Times New Roman" w:cs="Times New Roman"/>
        </w:rPr>
        <w:t xml:space="preserve">at the community level </w:t>
      </w:r>
      <w:r w:rsidRPr="00553649">
        <w:rPr>
          <w:rFonts w:ascii="Times New Roman" w:hAnsi="Times New Roman" w:cs="Times New Roman"/>
        </w:rPr>
        <w:t xml:space="preserve">and suggests salamander-associated communities are environmentally acquired and </w:t>
      </w:r>
      <w:r w:rsidR="00FE3DF9" w:rsidRPr="00553649">
        <w:rPr>
          <w:rFonts w:ascii="Times New Roman" w:hAnsi="Times New Roman" w:cs="Times New Roman"/>
        </w:rPr>
        <w:t>weakly structured by host traits and microbial interactions</w:t>
      </w:r>
      <w:r w:rsidRPr="00553649">
        <w:rPr>
          <w:rFonts w:ascii="Times New Roman" w:hAnsi="Times New Roman" w:cs="Times New Roman"/>
        </w:rPr>
        <w:t xml:space="preserve">. Ecological null models are a powerful tool for assessing such dissimilarities by comparing observed dissimilarity to expectations from probabilistically assembled communities while maintaining richness differences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{"citationID":"a17n3bp3sou","properties":{"formattedCitation":"(Ning et al., 2020; J. C. Stegen et al., 2013; Zhou &amp; Ning, 2017)","plainCitation":"(Ning et al., 2020; J. C. Stegen et al., 2013; Zhou &amp; Ning, 2017)","noteIndex":0},"citationItems":[{"id":534,"uris":["http://zotero.org/users/6401767/items/R3BHZNPL"],"itemData":{"id":534,"type":"article-journal","abstract":"SUMMARY Understanding the mechanisms controlling community diversity, functions, succession, and biogeography is a central, but poorly understood, topic in ecology, particularly in microbial ecology. Although stochastic processes are believed to play nonnegligible roles in shaping community structure, their importance relative to deterministic processes is hotly debated. The importance of ecological stochasticity in shaping microbial community structure is far less appreciated. Some of the main reasons for such heavy debates are the difﬁculty in deﬁning stochasticity and the diverse methods used for delineating stochasticity. Here, we provide a critical review and synthesis of data from the most recent studies on stochastic community assembly in microbial ecology. We then describe both stochastic and deterministic components embedded in various ecological processes, including selection, dispersal, diversiﬁcation, and drift. We also describe different approaches for inferring stochasticity from observational diversity patterns and highlight experimental approaches for delineating ecological stochasticity in microbial communities. In addition, we highlight research challenges, gaps, and future directions for microbial community assembly research.","container-title":"Microbiology and Molecular Biology Reviews","DOI":"10.1128/MMBR.00002-17","ISSN":"1092-2172, 1098-5557","issue":"4","journalAbbreviation":"Microbiol Mol Biol Rev","language":"en","page":"e00002-17, e00002-17","source":"DOI.org (Crossref)","title":"Stochastic Community Assembly: Does It Matter in Microbial Ecology?","title-short":"Stochastic Community Assembly","volume":"81","author":[{"family":"Zhou","given":"Jizhong"},{"family":"Ning","given":"Daliang"}],"issued":{"date-parts":[["2017",12]]}}},{"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4D2321">
        <w:rPr>
          <w:rFonts w:ascii="Cambria Math" w:hAnsi="Cambria Math" w:cs="Cambria Math"/>
        </w:rPr>
        <w:instrText>∼</w:instrText>
      </w:r>
      <w:r w:rsidR="004D2321">
        <w:rPr>
          <w:rFonts w:ascii="Times New Roman" w:hAnsi="Times New Roman" w:cs="Times New Roman"/>
        </w:rPr>
        <w:instrText xml:space="preserve">25% of spatial turnover in community composition; (ii) in deeper, finer-grained sediments, Selection is strong (governing </w:instrText>
      </w:r>
      <w:r w:rsidR="004D2321">
        <w:rPr>
          <w:rFonts w:ascii="Cambria Math" w:hAnsi="Cambria Math" w:cs="Cambria Math"/>
        </w:rPr>
        <w:instrText>∼</w:instrText>
      </w:r>
      <w:r w:rsidR="004D2321">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4D2321">
        <w:rPr>
          <w:rFonts w:ascii="Cambria Math" w:hAnsi="Cambria Math" w:cs="Cambria Math"/>
        </w:rPr>
        <w:instrText>∼</w:instrText>
      </w:r>
      <w:r w:rsidR="004D2321">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L."},{"family":"Konopka","given":"Allan"}],"issued":{"date-parts":[["2013",11]]}}},{"id":531,"uris":["http://zotero.org/users/6401767/items/9RM94XEL"],"itemData":{"id":531,"type":"article-journal","abstract":"Unraveling the drivers controlling community assembly is a central issue in ecology. Although it is generally accepted that selection, dispersal, diversification and drift are major community assembly processes, defining their relative importance is very challenging. Here, we present a framework to quantitatively infer community assembly mechanisms by phylogenetic bin-based null model analysis (iCAMP). iCAMP shows high accuracy (0.93–0.99), precision (0.80–0.94), sensitivity (0.82–0.94), and specificity (0.95–0.98) on simulated communities, which are 10–160% higher than those from the entire community-based approach. Application of iCAMP to grassland microbial communities in response to experimental warming reveals dominant roles of homogeneous selection (38%) and ‘drift’ (59%). Interestingly, warming decreases ‘drift’ over time, and enhances homogeneous selection which is primarily imposed on Bacillales. In addition, homogeneous selection has higher correlations with drought and plant productivity under warming than control. iCAMP provides an effective and robust tool to quantify microbial assembly processes, and should also be useful for plant and animal ecology.","container-title":"Nature Communications","DOI":"10.1038/s41467-020-18560-z","ISSN":"2041-1723","issue":"1","language":"en","license":"2020 The Author(s)","note":"number: 1\npublisher: Nature Publishing Group","page":"4717","source":"www.nature.com","title":"A quantitative framework reveals ecological drivers of grassland microbial community assembly in response to warming","volume":"11","author":[{"family":"Ning","given":"Daliang"},{"family":"Yuan","given":"Mengting"},{"family":"Wu","given":"Linwei"},{"family":"Zhang","given":"Ya"},{"family":"Guo","given":"Xue"},{"family":"Zhou","given":"Xishu"},{"family":"Yang","given":"Yunfeng"},{"family":"Arkin","given":"Adam P."},{"family":"Firestone","given":"Mary K."},{"family":"Zhou","given":"Jizhong"}],"issued":{"date-parts":[["2020",9,18]]}}}],"schema":"https://github.com/citation-style-language/schema/raw/master/csl-citation.json"}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(Ning et al., 2020; J. C. Stegen et al., 2013; Zhou &amp; Ning, 2017)</w:t>
      </w:r>
      <w:r w:rsidRPr="00553649">
        <w:rPr>
          <w:rFonts w:ascii="Times New Roman" w:hAnsi="Times New Roman" w:cs="Times New Roman"/>
        </w:rPr>
        <w:fldChar w:fldCharType="end"/>
      </w:r>
      <w:r w:rsidRPr="005A27CB">
        <w:rPr>
          <w:rFonts w:ascii="Times New Roman" w:hAnsi="Times New Roman" w:cs="Times New Roman"/>
        </w:rPr>
        <w:t>.</w:t>
      </w:r>
      <w:r w:rsidRPr="00553649">
        <w:rPr>
          <w:rFonts w:ascii="Times New Roman" w:hAnsi="Times New Roman" w:cs="Times New Roman"/>
          <w:b/>
          <w:bCs/>
        </w:rPr>
        <w:t xml:space="preserve"> </w:t>
      </w:r>
      <w:r w:rsidRPr="00553649">
        <w:rPr>
          <w:rFonts w:ascii="Times New Roman" w:hAnsi="Times New Roman" w:cs="Times New Roman"/>
        </w:rPr>
        <w:t>To understand the assembly patterns of salamander-associated communities, in</w:t>
      </w:r>
      <w:r w:rsidRPr="00553649">
        <w:rPr>
          <w:rFonts w:ascii="Times New Roman" w:hAnsi="Times New Roman" w:cs="Times New Roman"/>
          <w:b/>
          <w:bCs/>
        </w:rPr>
        <w:t xml:space="preserve"> Chapter 2</w:t>
      </w:r>
      <w:r w:rsidRPr="00553649">
        <w:rPr>
          <w:rFonts w:ascii="Times New Roman" w:hAnsi="Times New Roman" w:cs="Times New Roman"/>
        </w:rPr>
        <w:t xml:space="preserve"> I use a taxonomic and phylogenetic null ecological model as well as correlative relationships at varying taxonomic levels to evaluate signatures of stochastic and deterministic influences on salamander skin microbiomes from aquatically and terrestrially captured salamanders and their immediate cover objects. </w:t>
      </w:r>
    </w:p>
    <w:p w14:paraId="27AE05BA" w14:textId="2F7B1DD0" w:rsidR="00F22A04" w:rsidRPr="00D77B0C" w:rsidRDefault="00552D39" w:rsidP="00D77B0C">
      <w:pPr>
        <w:spacing w:line="360" w:lineRule="auto"/>
        <w:ind w:firstLine="720"/>
        <w:rPr>
          <w:rFonts w:ascii="Times New Roman" w:hAnsi="Times New Roman" w:cs="Times New Roman"/>
        </w:rPr>
      </w:pPr>
      <w:r w:rsidRPr="00553649">
        <w:rPr>
          <w:rFonts w:ascii="Times New Roman" w:hAnsi="Times New Roman" w:cs="Times New Roman"/>
        </w:rPr>
        <w:t xml:space="preserve">Community stability describes the ability of a community to minimize variability or return to its original state after perturbation. As such, community stability is inherently related to disturbance and can be broken down into three linked facets: constancy, resistance, and recovery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{"citationID":"fILNjF2I","properties":{"formattedCitation":"(de Bello et al., 2021)","plainCitation":"(de Bello et al., 2021)","noteIndex":0},"citationItems":[{"id":308,"uris":["http://zotero.org/users/6401767/items/W2FPFZ3G"],"itemData":{"id":308,"type":"article-journal","abstract":"Under global change, how biological diversity and ecosystem services are maintained in time is a fundamental question. Ecologists have long argued about multiple mechanisms by which local biodiversity might control the temporal stability of ecosystem properties. Accumulating theories and empirical evidence suggest that, together with different population and community parameters, these mechanisms largely operate through differences in functional traits among organisms. We review potential trait-stability mechanisms together with underlying tests and associated metrics. We identify various trait-based components, each accounting for different stability mechanisms, that contribute to buffering, or propagating, the effect of environmental fluctuations on ecosystem functioning. This comprehensive picture, obtained by combining different puzzle pieces of trait-stability effects, will guide future empirical and modeling investigations.","container-title":"Trends in Ecology &amp; Evolution","DOI":"10.1016/j.tree.2021.05.001","ISSN":"0169-5347","issue":"9","journalAbbreviation":"Trends in Ecology &amp; Evolution","language":"en","page":"822-836","source":"ScienceDirect","title":"Functional trait effects on ecosystem stability: assembling the jigsaw puzzle","title-short":"Functional trait effects on ecosystem stability","volume":"36","author":[{"family":"Bello","given":"Francesco","non-dropping-particle":"de"},{"family":"Lavorel","given":"Sandra"},{"family":"Hallett","given":"Lauren M."},{"family":"Valencia","given":"Enrique"},{"family":"Garnier","given":"Eric"},{"family":"Roscher","given":"Christiane"},{"family":"Conti","given":"Luisa"},{"family":"Galland","given":"Thomas"},{"family":"Goberna","given":"Marta"},{"family":"Májeková","given":"Maria"},{"family":"Montesinos-Navarro","given":"Alicia"},{"family":"Pausas","given":"Juli G."},{"family":"Verdú","given":"Miguel"},{"family":"E-Vojtkó","given":"Anna"},{"family":"Götzenberger","given":"Lars"},{"family":"Lepš","given":"Jan"}],"issued":{"date-parts":[["2021",9,1]]}}}],"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(de Bello et al., 2021)</w:t>
      </w:r>
      <w:r w:rsidRPr="00553649">
        <w:rPr>
          <w:rFonts w:ascii="Times New Roman" w:hAnsi="Times New Roman" w:cs="Times New Roman"/>
        </w:rPr>
        <w:fldChar w:fldCharType="end"/>
      </w:r>
      <w:r w:rsidRPr="00553649">
        <w:rPr>
          <w:rFonts w:ascii="Times New Roman" w:hAnsi="Times New Roman" w:cs="Times New Roman"/>
        </w:rPr>
        <w:t>. Disruption of host-associated communities can drive communities to a state of dysbiosis, which can have detrimental effects to hosts</w:t>
      </w:r>
      <w:r w:rsidR="00886A38" w:rsidRPr="00553649">
        <w:rPr>
          <w:rFonts w:ascii="Times New Roman" w:hAnsi="Times New Roman" w:cs="Times New Roman"/>
        </w:rPr>
        <w:t xml:space="preserve"> </w:t>
      </w:r>
      <w:r w:rsidR="00886A38" w:rsidRPr="00553649">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{"citationID":"a1lq32qnqf0","properties":{"formattedCitation":"(Jim\\uc0\\u233{}nez &amp; Sommer, 2016)","plainCitation":"(Jiménez &amp; Sommer, 2016)","noteIndex":0},"citationItems":[{"id":104,"uris":["http://zotero.org/users/6401767/items/AJ6K29MF"],"itemData":{"id":104,"type":"article-journal","container-title":"Biodiversity and Conservation","DOI":"10.1007/s10531-016-1272-x","issue":"4","journalAbbreviation":"Biodiversity and Conservation","page":"763-786","title":"The amphibian microbiome: natural range of variation, pathogenic dysbiosis, and role in conservation","volume":"26","author":[{"family":"Jiménez","given":"Randall R."},{"family":"Sommer","given":"Simone"}],"issued":{"date-parts":[["2016",12,9]]}}}],"schema":"https://github.com/citation-style-language/schema/raw/master/csl-citation.json"} </w:instrText>
      </w:r>
      <w:r w:rsidR="00886A38" w:rsidRPr="00553649">
        <w:rPr>
          <w:rFonts w:ascii="Times New Roman" w:hAnsi="Times New Roman" w:cs="Times New Roman"/>
        </w:rPr>
        <w:fldChar w:fldCharType="separate"/>
      </w:r>
      <w:r w:rsidR="00CB244F" w:rsidRPr="00CB244F">
        <w:rPr>
          <w:rFonts w:ascii="Times New Roman" w:hAnsi="Times New Roman" w:cs="Times New Roman"/>
        </w:rPr>
        <w:t>(Jiménez &amp; Sommer, 2016)</w:t>
      </w:r>
      <w:r w:rsidR="00886A38" w:rsidRPr="00553649">
        <w:rPr>
          <w:rFonts w:ascii="Times New Roman" w:hAnsi="Times New Roman" w:cs="Times New Roman"/>
        </w:rPr>
        <w:fldChar w:fldCharType="end"/>
      </w:r>
      <w:r w:rsidRPr="00553649">
        <w:rPr>
          <w:rFonts w:ascii="Times New Roman" w:hAnsi="Times New Roman" w:cs="Times New Roman"/>
        </w:rPr>
        <w:t xml:space="preserve">. However, the extent of dysbiosis is dependent on the degree of the disturbance and the reliance of hosts to symbionts. In this regard, interpreting how a community might respond to disturbance events is defining expectations of  ‘normal operating range’ for host-associated communities </w:t>
      </w:r>
      <w:r w:rsidRPr="00553649">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{"citationID":"a2ev893ch3b","properties":{"formattedCitation":"(Shade et al., 2012)","plainCitation":"(Shade et al., 2012)","noteIndex":0},"citationItems":[{"id":387,"uris":["http://zotero.org/users/6401767/items/T25J22VI"],"itemData":{"id":387,"type":"article-journal","abstract":"Microbial communities are at the heart of all ecosystems, and yet microbial community behavior in disturbed environments remains difficult to measure and predict. Understanding the drivers of microbial community stability, including resistance (insensitivity to disturbance) and resilience (the rate of recovery after disturbance) is important for predicting community response to disturbance. Here, we provide an overview of the concepts of stability that are relevant for microbial communities. First, we highlight insights from ecology that are useful for defining and measuring stability. To determine whether general disturbance responses exist for microbial communities, we next examine representative studies from the literature that investigated community responses to press (long-term) and pulse (short-term) disturbances in a variety of habitats. Then we discuss the biological features of individual microorganisms, of microbial populations, and of microbial communities that may govern overall community stability. We conclude with thoughts about the unique insights that systems perspectives – informed by meta-omics data – may provide about microbial community stability.","container-title":"Frontiers in Microbiology","ISSN":"1664-302X","source":"Frontiers","title":"Fundamentals of Microbial Community Resistance and Resilience","URL":"https://www.frontiersin.org/articles/10.3389/fmicb.2012.00417","volume":"3","author":[{"family":"Shade","given":"Ashley"},{"family":"Peter","given":"Hannes"},{"family":"Allison","given":"Steven"},{"family":"Baho","given":"Didier"},{"family":"Berga","given":"Mercé"},{"family":"Buergmann","given":"Helmut"},{"family":"Huber","given":"David"},{"family":"Langenheder","given":"Silke"},{"family":"Lennon","given":"Jay"},{"family":"Martiny","given":"Jennifer"},{"family":"Matulich","given":"Kristin"},{"family":"Schmidt","given":"Thomas"},{"family":"Handelsman","given":"Jo"}],"accessed":{"date-parts":[["2024",1,27]]},"issued":{"date-parts":[["2012"]]}}}],"schema":"https://github.com/citation-style-language/schema/raw/master/csl-citation.json"} </w:instrText>
      </w:r>
      <w:r w:rsidRPr="00553649">
        <w:rPr>
          <w:rFonts w:ascii="Times New Roman" w:hAnsi="Times New Roman" w:cs="Times New Roman"/>
        </w:rPr>
        <w:fldChar w:fldCharType="separate"/>
      </w:r>
      <w:r w:rsidR="004D2321">
        <w:rPr>
          <w:rFonts w:ascii="Times New Roman" w:hAnsi="Times New Roman" w:cs="Times New Roman"/>
        </w:rPr>
        <w:t>(Shade et al., 2012)</w:t>
      </w:r>
      <w:r w:rsidRPr="00553649">
        <w:rPr>
          <w:rFonts w:ascii="Times New Roman" w:hAnsi="Times New Roman" w:cs="Times New Roman"/>
        </w:rPr>
        <w:fldChar w:fldCharType="end"/>
      </w:r>
      <w:r w:rsidRPr="00553649">
        <w:rPr>
          <w:rFonts w:ascii="Times New Roman" w:hAnsi="Times New Roman" w:cs="Times New Roman"/>
        </w:rPr>
        <w:t xml:space="preserve">. </w:t>
      </w:r>
      <w:r w:rsidR="00B243E0">
        <w:rPr>
          <w:rFonts w:ascii="Times New Roman" w:hAnsi="Times New Roman" w:cs="Times New Roman"/>
        </w:rPr>
        <w:t>According to my</w:t>
      </w:r>
      <w:r w:rsidRPr="00553649">
        <w:rPr>
          <w:rFonts w:ascii="Times New Roman" w:hAnsi="Times New Roman" w:cs="Times New Roman"/>
        </w:rPr>
        <w:t xml:space="preserve"> previous results</w:t>
      </w:r>
      <w:r w:rsidR="00B243E0">
        <w:rPr>
          <w:rFonts w:ascii="Times New Roman" w:hAnsi="Times New Roman" w:cs="Times New Roman"/>
        </w:rPr>
        <w:t>,</w:t>
      </w:r>
      <w:r w:rsidRPr="00553649">
        <w:rPr>
          <w:rFonts w:ascii="Times New Roman" w:hAnsi="Times New Roman" w:cs="Times New Roman"/>
        </w:rPr>
        <w:t xml:space="preserve"> differences between salamander hosts appear largely random, consistent with stochastic colonization and extinction of environmentally acquired </w:t>
      </w:r>
      <w:r w:rsidR="00B67464">
        <w:rPr>
          <w:rFonts w:ascii="Times New Roman" w:hAnsi="Times New Roman" w:cs="Times New Roman"/>
        </w:rPr>
        <w:t>microbes</w:t>
      </w:r>
      <w:r w:rsidRPr="00553649">
        <w:rPr>
          <w:rFonts w:ascii="Times New Roman" w:hAnsi="Times New Roman" w:cs="Times New Roman"/>
        </w:rPr>
        <w:t xml:space="preserve">. This implies most microbes found on salamanders are likely to be transient, making it unclear how and if </w:t>
      </w:r>
      <w:r w:rsidR="00B67464">
        <w:rPr>
          <w:rFonts w:ascii="Times New Roman" w:hAnsi="Times New Roman" w:cs="Times New Roman"/>
        </w:rPr>
        <w:t>microbes</w:t>
      </w:r>
      <w:r w:rsidRPr="00553649">
        <w:rPr>
          <w:rFonts w:ascii="Times New Roman" w:hAnsi="Times New Roman" w:cs="Times New Roman"/>
        </w:rPr>
        <w:t xml:space="preserve"> persist on hosts over the course of the year. In </w:t>
      </w:r>
      <w:r w:rsidRPr="00553649">
        <w:rPr>
          <w:rFonts w:ascii="Times New Roman" w:hAnsi="Times New Roman" w:cs="Times New Roman"/>
          <w:b/>
          <w:bCs/>
        </w:rPr>
        <w:t>Chapter 3</w:t>
      </w:r>
      <w:r w:rsidRPr="00553649">
        <w:rPr>
          <w:rFonts w:ascii="Times New Roman" w:hAnsi="Times New Roman" w:cs="Times New Roman"/>
        </w:rPr>
        <w:t xml:space="preserve">, I assess the temporal variation of the amphibian skin microbial and test four definitions of a ‘core’ microbiome to uncover candidates for future investigation that display non-random associations with salamander skin. </w:t>
      </w:r>
      <w:bookmarkEnd w:id="7"/>
    </w:p>
    <w:p w14:paraId="477871A7" w14:textId="420D3571" w:rsidR="00372F2C" w:rsidRPr="004F302B" w:rsidRDefault="00372F2C">
      <w:pPr>
        <w:rPr>
          <w:rFonts w:ascii="Times New Roman" w:hAnsi="Times New Roman" w:cs="Times New Roman"/>
          <w:szCs w:val="28"/>
        </w:rPr>
      </w:pPr>
      <w:bookmarkStart w:id="8" w:name="_Toc289175825"/>
    </w:p>
    <w:p w14:paraId="1A24C004" w14:textId="1B355FBF" w:rsidR="00A961B9" w:rsidRDefault="003C7FC5" w:rsidP="005E54E2">
      <w:pPr>
        <w:pStyle w:val="Heading1"/>
        <w:rPr>
          <w:rFonts w:ascii="Times New Roman" w:hAnsi="Times New Roman" w:cs="Times New Roman"/>
        </w:rPr>
      </w:pPr>
      <w:bookmarkStart w:id="9" w:name="_Toc165028046"/>
      <w:r w:rsidRPr="002579E0">
        <w:rPr>
          <w:rFonts w:ascii="Times New Roman" w:hAnsi="Times New Roman" w:cs="Times New Roman"/>
          <w:szCs w:val="28"/>
        </w:rPr>
        <w:lastRenderedPageBreak/>
        <w:t>CHAPTER I</w:t>
      </w:r>
      <w:r w:rsidR="00C13E2E">
        <w:rPr>
          <w:rFonts w:ascii="Times New Roman" w:hAnsi="Times New Roman" w:cs="Times New Roman"/>
          <w:szCs w:val="28"/>
        </w:rPr>
        <w:t>:</w:t>
      </w:r>
      <w:r w:rsidR="00FF1665" w:rsidRPr="002579E0">
        <w:rPr>
          <w:rFonts w:ascii="Times New Roman" w:hAnsi="Times New Roman" w:cs="Times New Roman"/>
          <w:szCs w:val="28"/>
        </w:rPr>
        <w:br/>
      </w:r>
      <w:bookmarkEnd w:id="8"/>
      <w:r w:rsidR="00E56D35" w:rsidRPr="002579E0">
        <w:rPr>
          <w:rFonts w:ascii="Times New Roman" w:hAnsi="Times New Roman" w:cs="Times New Roman"/>
        </w:rPr>
        <w:t>Similarity and Differentiation of Amphibian Skin Microbiomes by Habitat, Microhabitat, and Host Species</w:t>
      </w:r>
      <w:bookmarkEnd w:id="9"/>
    </w:p>
    <w:p w14:paraId="29A8F419" w14:textId="23EBE4AC" w:rsidR="00FA75A5" w:rsidRPr="00A961B9" w:rsidRDefault="00A961B9" w:rsidP="005E54E2">
      <w:pPr>
        <w:rPr>
          <w:rFonts w:ascii="Times New Roman" w:hAnsi="Times New Roman" w:cs="Times New Roman"/>
          <w:b/>
          <w:bCs/>
          <w:caps/>
          <w:sz w:val="28"/>
        </w:rPr>
      </w:pPr>
      <w:r>
        <w:rPr>
          <w:rFonts w:ascii="Times New Roman" w:hAnsi="Times New Roman" w:cs="Times New Roman"/>
        </w:rPr>
        <w:br w:type="page"/>
      </w:r>
    </w:p>
    <w:p w14:paraId="51A91F19" w14:textId="212E93B6" w:rsidR="00FA75A5" w:rsidRPr="002579E0" w:rsidRDefault="00060A6A" w:rsidP="005E54E2">
      <w:pPr>
        <w:pStyle w:val="Heading2"/>
        <w:rPr>
          <w:rFonts w:ascii="Times New Roman" w:hAnsi="Times New Roman" w:cs="Times New Roman"/>
        </w:rPr>
      </w:pPr>
      <w:bookmarkStart w:id="10" w:name="_Toc289175826"/>
      <w:r w:rsidRPr="002579E0">
        <w:rPr>
          <w:rFonts w:ascii="Times New Roman" w:hAnsi="Times New Roman" w:cs="Times New Roman"/>
        </w:rPr>
        <w:lastRenderedPageBreak/>
        <w:t xml:space="preserve">    </w:t>
      </w:r>
      <w:bookmarkStart w:id="11" w:name="_Toc165028047"/>
      <w:r w:rsidR="00FA75A5" w:rsidRPr="002579E0">
        <w:rPr>
          <w:rFonts w:ascii="Times New Roman" w:hAnsi="Times New Roman" w:cs="Times New Roman"/>
        </w:rPr>
        <w:t>A</w:t>
      </w:r>
      <w:r w:rsidR="00FF1665" w:rsidRPr="002579E0">
        <w:rPr>
          <w:rFonts w:ascii="Times New Roman" w:hAnsi="Times New Roman" w:cs="Times New Roman"/>
        </w:rPr>
        <w:t>bstract</w:t>
      </w:r>
      <w:bookmarkEnd w:id="10"/>
      <w:bookmarkEnd w:id="11"/>
      <w:r w:rsidR="003C7FC5" w:rsidRPr="002579E0">
        <w:rPr>
          <w:rFonts w:ascii="Times New Roman" w:hAnsi="Times New Roman" w:cs="Times New Roman"/>
        </w:rPr>
        <w:tab/>
      </w:r>
    </w:p>
    <w:p w14:paraId="28EEBDBA" w14:textId="0812F23A" w:rsidR="00895912" w:rsidRPr="002579E0" w:rsidRDefault="00FF1665" w:rsidP="006C7744">
      <w:pPr>
        <w:spacing w:line="360" w:lineRule="auto"/>
        <w:rPr>
          <w:rFonts w:ascii="Times New Roman" w:hAnsi="Times New Roman" w:cs="Times New Roman"/>
        </w:rPr>
      </w:pPr>
      <w:r w:rsidRPr="002579E0">
        <w:rPr>
          <w:rFonts w:ascii="Times New Roman" w:hAnsi="Times New Roman" w:cs="Times New Roman"/>
        </w:rPr>
        <w:tab/>
      </w:r>
      <w:bookmarkStart w:id="12" w:name="_Toc289175827"/>
      <w:r w:rsidR="00E56D35" w:rsidRPr="002579E0">
        <w:rPr>
          <w:rFonts w:ascii="Times New Roman" w:hAnsi="Times New Roman" w:cs="Times New Roman"/>
        </w:rPr>
        <w:t>Host-associated communities exist on a spectrum ranging from casual assemblages to highly co-evolved systems. Casual, or transient, assemblages rely heavily on source pools and are thus expected to mirror environmental communities and vary with host habitats. Highly coevolved systems are dependent on host traits and thus remain relatively constant over time and space. However, diffuse mutualisms are likely to exhibit convergence when similar host species have similar interactions with microbes. To assess intrinsic (host traits) and environmental influences on amphibian-associated bacterial communities, we utilized the high diversity of Plethodontid salamanders in Great Smoky Mountains National Park. Salamanders and cover objects (their local environments) were sampled along an aquatic-terrestrial gradient and bacterial diversity was assessed using 16S rRNA meta-amplicon sequencing. Cover objects show strong ties to habitat (aquatic/terrestrial) with some evidence of microhabitat partitioning. Salamander-associated communities show high individual variation with little relationship to habitat, and only slight differences among salamander species. A subtle pattern of convergence among host species was suggested by the identification of 21 sequence variants with strong associations to salamanders, providing evidence for diffuse mutualisms, or microbes well suited for salamander skin. However, our results find little other evidence for salamander or species specificity, meaning ecological assembly patterns and environmental reservoirs largely drive symbiotic communities on salamander skin.</w:t>
      </w:r>
    </w:p>
    <w:p w14:paraId="6C631CDE" w14:textId="04E6D5AA" w:rsidR="00895912" w:rsidRPr="002579E0" w:rsidRDefault="00895912" w:rsidP="004F52A8">
      <w:pPr>
        <w:pStyle w:val="Heading2"/>
        <w:rPr>
          <w:rFonts w:ascii="Times New Roman" w:hAnsi="Times New Roman" w:cs="Times New Roman"/>
          <w:b w:val="0"/>
          <w:bCs w:val="0"/>
        </w:rPr>
      </w:pPr>
      <w:bookmarkStart w:id="13" w:name="_Toc165028048"/>
      <w:r w:rsidRPr="002579E0">
        <w:rPr>
          <w:rFonts w:ascii="Times New Roman" w:hAnsi="Times New Roman" w:cs="Times New Roman"/>
        </w:rPr>
        <w:t>Introduction</w:t>
      </w:r>
      <w:bookmarkEnd w:id="13"/>
    </w:p>
    <w:p w14:paraId="269F97FA" w14:textId="77777777" w:rsidR="00895912" w:rsidRPr="002579E0" w:rsidRDefault="00895912" w:rsidP="00895912">
      <w:pPr>
        <w:jc w:val="center"/>
        <w:rPr>
          <w:rFonts w:ascii="Times New Roman" w:hAnsi="Times New Roman" w:cs="Times New Roman"/>
          <w:b/>
          <w:bCs/>
        </w:rPr>
      </w:pPr>
    </w:p>
    <w:p w14:paraId="31576FCE" w14:textId="663F007F"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 xml:space="preserve">Host-microbe interactions have become a focal point in ecology and evolution, as host associated microbes can have profound consequences for the evolution, behavior, and physiology of the host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{"citationID":"2IgXtGLM","properties":{"formattedCitation":"(Bordenstein &amp; Theis, 2015; Huitzil et al., 2018; O\\uc0\\u8217{}Hara et al., 2020)","plainCitation":"(Bordenstein &amp; Theis, 2015; Huitzil et al., 2018; O’Hara et al., 2020)","noteIndex":0},"citationItems":[{"id":111,"uris":["http://zotero.org/users/6401767/items/GJBERIFF"],"itemData":{"id":111,"type":"article-journal","DOI":"https://doi.org/10.1371/journal.pbio.1002226","title":"Host Biology in Light of the Microbiome: Ten Principles of Holobionts and Hologenomes","URL":"https://journals.plos.org/plosbiology/article?id=10.1371/journal.pbio.1002226","author":[{"family":"Bordenstein","given":"Seth R."},{"family":"Theis","given":"Kevin R."}],"accessed":{"date-parts":[["2020",8,10]]},"issued":{"date-parts":[["2015"]]}}},{"id":121,"uris":["http://zotero.org/users/6401767/items/Z287J459"],"itemData":{"id":121,"type":"article-journal","abstract":"There is undeniable evidence showing that bacteria have strongly influenced the evolution and biological functions of multicellular organisms. It has been hypothesized that many host-microbial interactions have emerged so as to increase the adaptive fitness of the holobiont (the host plus its microbiota). Although this association has been corroborated for many specific cases, general mechanisms explaining the role of the microbiota in the evolution of the host are yet to be understood. Here we present an evolutionary model in which a network representing the host adapts in order to perform a predefined function. During its adaptation, the host network (HN) can interact with other networks representing its microbiota. We show that this interaction greatly accelerates and improves the adaptability of the HN without decreasing the adaptation of the microbial networks. Furthermore, the adaptation of the HN to perform several functions is possible only when it interacts with many different bacterial networks in a specialized way (each bacterial network participating in the adaptation of one function). Disrupting these interactions often leads to non-adaptive states, reminiscent of dysbiosis, where none of the networks the holobiont consists of can perform their respective functions. By considering the holobiont as a unit of selection and focusing on the adaptation of the host to predefined but arbitrary functions, our model predicts the need for specialized diversity in the microbiota. This structural and dynamical complexity in the holobiont facilitates its adaptation, whereas a homogeneous (non-specialized) microbiota is inconsequential or even detrimental to the holobiont's evolution. To our knowledge, this is the first model in which symbiotic interactions, diversity, specialization and dysbiosis in an ecosystem emerge as a result of coevolution. It also helps us understand the emergence of complex organisms, as they adapt more easily to perform multiple tasks than non-complex ones.","container-title":"Frontiers in Physiology","DOI":"10.3389/fphys.2018.01836","ISSN":"1664-042X","journalAbbreviation":"Front. Physiol.","language":"English","note":"publisher: Frontiers","source":"Frontiers","title":"Modeling the Role of the Microbiome in Evolution","URL":"https://www.frontiersin.org/articles/10.3389/fphys.2018.01836/full","volume":"9","author":[{"family":"Huitzil","given":"Saúl"},{"family":"Sandoval-Motta","given":"Santiago"},{"family":"Frank","given":"Alejandro"},{"family":"Aldana","given":"Maximino"}],"accessed":{"date-parts":[["2020",8,10]]},"issued":{"date-parts":[["2018"]]}}},{"id":"aW8cvW4I/mSgHT9ED","uris":["http://zotero.org/users/6401767/items/X2VLG9RR"],"itemData":{"id":243,"type":"article-journal","abstract":"Ruminant production systems face significant challenges currently, driven by heightened awareness of their negative environmental impact and the rapidly rising global population. Recent findings have underscored how the composition and function of the rumen microbiome are associated with economically valuable traits, including feed efficiency and methane emission. Although omics-based technological advances in the last decade have revolutionized our understanding of host-associated microbial communities, there remains incongruence over the correct approach for analysis of large omic data sets. A global approach that examines host/microbiome interactions in both the rumen and the lower digestive tract is required to harness the full potential of the gastrointestinal microbiome for sustainable ruminant production. This review highlights how the ruminant animal production community may identify and exploit the causal relationships between the gut microbiome and host traits of interest for a practical application of omic data to animal health and production.","container-title":"Annual Review of Animal Biosciences","DOI":"10.1146/annurev-animal-021419-083952","ISSN":"2165-8102","issue":"1","journalAbbreviation":"Annu. Rev. Anim. Biosci.","note":"publisher: Annual Reviews","page":"199-220","title":"The Role of the Gut Microbiome in Cattle Production and Health: Driver or Passenger?","volume":"8","author":[{"family":"O'Hara","given":"Eóin"},{"family":"Neves","given":"André L.A."},{"family":"Song","given":"Yang"},{"family":"Guan","given":"Le Luo"}],"issued":{"date-parts":[["2020",2,15]]}}}],"schema":"https://github.com/citation-style-language/schema/raw/master/csl-citation.json"} </w:instrText>
      </w:r>
      <w:r w:rsidRPr="002579E0">
        <w:rPr>
          <w:rFonts w:ascii="Times New Roman" w:hAnsi="Times New Roman" w:cs="Times New Roman"/>
        </w:rPr>
        <w:fldChar w:fldCharType="separate"/>
      </w:r>
      <w:r w:rsidR="004D2321" w:rsidRPr="004D2321">
        <w:rPr>
          <w:rFonts w:ascii="Times New Roman" w:hAnsi="Times New Roman" w:cs="Times New Roman"/>
        </w:rPr>
        <w:t>(Bordenstein &amp; Theis, 2015; Huitzil et al., 2018; O’Hara et al., 2020)</w:t>
      </w:r>
      <w:r w:rsidRPr="002579E0">
        <w:rPr>
          <w:rFonts w:ascii="Times New Roman" w:hAnsi="Times New Roman" w:cs="Times New Roman"/>
        </w:rPr>
        <w:fldChar w:fldCharType="end"/>
      </w:r>
      <w:r w:rsidRPr="002579E0">
        <w:rPr>
          <w:rFonts w:ascii="Times New Roman" w:hAnsi="Times New Roman" w:cs="Times New Roman"/>
        </w:rPr>
        <w:t xml:space="preserve">. Microbes residing on the host can be thought to exist on a dynamic spectrum ranging from mutualistic to pathogenic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{"citationID":"bdiHkvWY","properties":{"formattedCitation":"(Steinert et al., 2000)","plainCitation":"(Steinert et al., 2000)","noteIndex":0},"citationItems":[{"id":405,"uris":["http://zotero.org/users/6401767/items/SVANNTEE"],"itemData":{"id":405,"type":"article-journal","container-title":"Naturwissenschaften","DOI":"10.1007/s001140050001","ISSN":"0028-1042, 1432-1904","issue":"1","journalAbbreviation":"Naturwissenschaften","language":"en","page":"1-11","source":"DOI.org (Crossref)","title":"Symbiosis and Pathogenesis: Evolution of the Microbe-Host Interaction","title-short":"Symbiosis and Pathogenesis","volume":"87","author":[{"family":"Steinert","given":"M."},{"family":"Hentschel","given":"U."},{"family":"Hacker","given":"J."}],"issued":{"date-parts":[["2000",1]]}}}],"schema":"https://github.com/citation-style-language/schema/raw/master/csl-citation.json"}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(Steinert et al., 2000)</w:t>
      </w:r>
      <w:r w:rsidRPr="002579E0">
        <w:rPr>
          <w:rFonts w:ascii="Times New Roman" w:hAnsi="Times New Roman" w:cs="Times New Roman"/>
        </w:rPr>
        <w:fldChar w:fldCharType="end"/>
      </w:r>
      <w:r w:rsidRPr="002579E0">
        <w:rPr>
          <w:rFonts w:ascii="Times New Roman" w:hAnsi="Times New Roman" w:cs="Times New Roman"/>
        </w:rPr>
        <w:t xml:space="preserve">. In amphibians, the skin microbiome has garnered attention due to its ability to inhibit the growth of two chytrid fungi, </w:t>
      </w:r>
      <w:r w:rsidRPr="002579E0">
        <w:rPr>
          <w:rFonts w:ascii="Times New Roman" w:hAnsi="Times New Roman" w:cs="Times New Roman"/>
          <w:i/>
          <w:iCs/>
        </w:rPr>
        <w:t xml:space="preserve">Batrachochytrium </w:t>
      </w:r>
      <w:proofErr w:type="spellStart"/>
      <w:r w:rsidRPr="002579E0">
        <w:rPr>
          <w:rFonts w:ascii="Times New Roman" w:hAnsi="Times New Roman" w:cs="Times New Roman"/>
          <w:i/>
          <w:iCs/>
        </w:rPr>
        <w:t>dendrobatidis</w:t>
      </w:r>
      <w:proofErr w:type="spellEnd"/>
      <w:r w:rsidRPr="002579E0">
        <w:rPr>
          <w:rFonts w:ascii="Times New Roman" w:hAnsi="Times New Roman" w:cs="Times New Roman"/>
        </w:rPr>
        <w:t xml:space="preserve"> (Bd) and </w:t>
      </w:r>
      <w:r w:rsidRPr="002579E0">
        <w:rPr>
          <w:rFonts w:ascii="Times New Roman" w:hAnsi="Times New Roman" w:cs="Times New Roman"/>
          <w:i/>
          <w:iCs/>
        </w:rPr>
        <w:t xml:space="preserve">Batrachochytrium </w:t>
      </w:r>
      <w:proofErr w:type="spellStart"/>
      <w:r w:rsidRPr="002579E0">
        <w:rPr>
          <w:rFonts w:ascii="Times New Roman" w:hAnsi="Times New Roman" w:cs="Times New Roman"/>
          <w:i/>
          <w:iCs/>
        </w:rPr>
        <w:t>salamandrivorans</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Bsal</w:t>
      </w:r>
      <w:proofErr w:type="spellEnd"/>
      <w:r w:rsidRPr="002579E0">
        <w:rPr>
          <w:rFonts w:ascii="Times New Roman" w:hAnsi="Times New Roman" w:cs="Times New Roman"/>
        </w:rPr>
        <w:t xml:space="preserve">) through the production of antifungal metabolites in laboratory experiments </w:t>
      </w:r>
      <w:r w:rsidRPr="002579E0">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{"citationID":"UtC97Lsr","properties":{"formattedCitation":"(Lauer et al., 2007; Muletz et al., 2012a; Woodhams et al., 2014)","plainCitation":"(Lauer et al., 2007; Muletz et al., 2012a; Woodhams et al., 2014)","noteIndex":0},"citationItems":[{"id":194,"uris":["http://zotero.org/users/6401767/items/5ZQGVCTV"],"itemData":{"id":194,"type":"article-journal","container-title":"Copeia","DOI":"10.1643/0045-8511(2007)2007[630:CCBFTE]2.0.CO;2","ISSN":"0045-8511, 1938-5110","issue":"3","journalAbbreviation":"Copeia","language":"en","page":"630-640","source":"DOI.org (Crossref)","title":"Common Cutaneous Bacteria from the Eastern Red-Backed Salamander Can Inhibit Pathogenic Fungi","volume":"2007","author":[{"family":"Lauer","given":"Antje"},{"family":"Simon","given":"Mary Alice"},{"family":"Banning","given":"Jenifer L."},{"family":"André","given":"Emily"},{"family":"Duncan","given":"Karen"},{"family":"Harris","given":"Reid N."}],"issued":{"date-parts":[["2007",9,10]]}}},{"id":119,"uris":["http://zotero.org/users/6401767/items/868D7ZS2"],"itemData":{"id":119,"type":"article-journal","abstract":"Amphibians worldwide are declining in part due to the disease chytridiomycosis caused by the cutaneous fungal pathogen Batrachochytrium dendrobatidis (Bd). While several experimental disease mitigation strategies are currently being tested, no proven implementable strategy exists to combat chytridiomycosis in the field. A plausible conservation strategy is the use of probiotic anti-Bd bacteria to combat chytridiomycosis (bioaugmentation). In this study, we examined the use of soil bioaugmentation in mitigation of chytridiomycosis in a laboratory experiment. Specifically, we sought to determine if the anti-Bd bacterial species Janthinobacterium lividum could be successfully introduced into natural soil, if the introduced bacteria could then be transmitted to the skin of the amphibian species Plethodon cinereus, and if the environmental transmission of J. lividum could reduce Bd infection on P. cinereus. We demonstrated that J. lividum can be successfully introduced into soil and can be environmentally transmitted to P. cinereus skin. We found that the environmental transmission of J. lividum inhibited colonization by Bd on the skin of P. cinereus five days post-Bd exposure. Soil bioaugmentation may be a feasible conservation strategy that could protect amphibians susceptible to chytridiomycosis from declines driven by the disease.","container-title":"Biological Conservation","DOI":"10.1016/j.biocon.2012.03.022","ISSN":"0006-3207","journalAbbreviation":"Biological Conservation","language":"en","page":"119-126","source":"ScienceDirect","title":"Soil bioaugmentation with amphibian cutaneous bacteria protects amphibian hosts from infection by Batrachochytrium dendrobatidis","volume":"152","author":[{"family":"Muletz","given":"Carly R."},{"family":"Myers","given":"Jillian M."},{"family":"Domangue","given":"Rickie J."},{"family":"Herrick","given":"James B."},{"family":"Harris","given":"Reid N."}],"issued":{"date-parts":[["2012",8,1]]}}},{"id":493,"uris":["http://zotero.org/users/6401767/items/PKDT444A"],"itemData":{"id":493,"type":"article-journal","container-title":"PLoS ONE","DOI":"10.1371/journal.pone.0096375","ISSN":"1932-6203","issue":"4","journalAbbreviation":"PLoS ONE","language":"en","page":"e96375","source":"DOI.org (Crossref)","title":"Interacting Symbionts and Immunity in the Amphibian Skin Mucosome Predict Disease Risk and Probiotic Effectiveness","volume":"9","author":[{"family":"Woodhams","given":"Douglas C."},{"family":"Brandt","given":"Hannelore"},{"family":"Baumgartner","given":"Simone"},{"family":"Kielgast","given":"Jos"},{"family":"Küpfer","given":"Eliane"},{"family":"Tobler","given":"Ursina"},{"family":"Davis","given":"Leyla R."},{"family":"Schmidt","given":"Benedikt R."},{"family":"Bel","given":"Christian"},{"family":"Hodel","given":"Sandro"},{"family":"Knight","given":"Rob"},{"family":"McKenzie","given":"Valerie"}],"editor":[{"family":"Navas","given":"Carlos A."}],"issued":{"date-parts":[["2014",4,30]]}}}],"schema":"https://github.com/citation-style-language/schema/raw/master/csl-citation.json"} </w:instrText>
      </w:r>
      <w:r w:rsidRPr="002579E0">
        <w:rPr>
          <w:rFonts w:ascii="Times New Roman" w:hAnsi="Times New Roman" w:cs="Times New Roman"/>
        </w:rPr>
        <w:fldChar w:fldCharType="separate"/>
      </w:r>
      <w:r w:rsidR="00CB244F">
        <w:rPr>
          <w:rFonts w:ascii="Times New Roman" w:hAnsi="Times New Roman" w:cs="Times New Roman"/>
        </w:rPr>
        <w:t>(Lauer et al., 2007; Muletz et al., 2012a; Woodhams et al., 2014)</w:t>
      </w:r>
      <w:r w:rsidRPr="002579E0">
        <w:rPr>
          <w:rFonts w:ascii="Times New Roman" w:hAnsi="Times New Roman" w:cs="Times New Roman"/>
        </w:rPr>
        <w:fldChar w:fldCharType="end"/>
      </w:r>
      <w:r w:rsidRPr="002579E0">
        <w:rPr>
          <w:rFonts w:ascii="Times New Roman" w:hAnsi="Times New Roman" w:cs="Times New Roman"/>
        </w:rPr>
        <w:t xml:space="preserve">. These two chytrid fungi, associated with global amphibian declines, </w:t>
      </w:r>
      <w:r w:rsidRPr="002579E0">
        <w:rPr>
          <w:rFonts w:ascii="Times New Roman" w:hAnsi="Times New Roman" w:cs="Times New Roman"/>
        </w:rPr>
        <w:lastRenderedPageBreak/>
        <w:t xml:space="preserve">colonize the skin and disrupt physiological homeostasis by damaging host tissues, disrupting immunological response, and afflicting metabolic dysregulation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{"citationID":"LZm77QG6","properties":{"formattedCitation":"(Fites et al., 2013; Grogan et al., 2018; Van Rooij et al., 2015)","plainCitation":"(Fites et al., 2013; Grogan et al., 2018; Van Rooij et al., 2015)","noteIndex":0},"citationItems":[{"id":462,"uris":["http://zotero.org/users/6401767/items/LBGIQL6G"],"itemData":{"id":462,"type":"article-journal","abstract":"The chytrid fungus, Batrachochytrium dendrobatidis, causes chytridiomycosis and is a major contributor to global amphibian declines. Although amphibians have robust immune defenses, clearance of this pathogen is impaired. Because inhibition of host immunity is a common survival strategy of pathogenic fungi, we hypothesized that B. dendrobatidis evades clearance by inhibiting immune functions. We found that B. dendrobatidis cells and supernatants impaired lymphocyte proliferation and induced apoptosis; however, fungal recognition and phagocytosis by macrophages and neutrophils was not impaired. Fungal inhibitory factors were resistant to heat, acid, and protease. Their production was absent in zoospores and reduced by nikkomycin Z, suggesting that they may be components of the cell wall. Evasion of host immunity may explain why this pathogen has devastated amphibian populations worldwide.","archive":"PubMed","archive_location":"24136969","container-title":"Science (New York, N.Y.)","DOI":"10.1126/science.1243316","ISSN":"1095-9203","issue":"6156","journalAbbreviation":"Science","language":"eng","page":"366-369","title":"The invasive chytrid fungus of amphibians paralyzes lymphocyte responses","volume":"342","author":[{"family":"Fites","given":"J Scott"},{"family":"Ramsey","given":"Jeremy P"},{"family":"Holden","given":"Whitney M"},{"family":"Collier","given":"Sarah P"},{"family":"Sutherland","given":"Danica M"},{"family":"Reinert","given":"Laura K"},{"family":"Gayek","given":"A Sophia"},{"family":"Dermody","given":"Terence S"},{"family":"Aune","given":"Thomas M"},{"family":"Oswald-Richter","given":"Kyra"},{"family":"Rollins-Smith","given":"Louise A"}],"issued":{"date-parts":[["2013",10,18]]}}},{"id":127,"uris":["http://zotero.org/users/6401767/items/2HPADSEK"],"itemData":{"id":127,"type":"article-journal","abstract":"Chytridiomycosis is among several recently emerged fungal diseases of wildlife that have caused decline or extinction of naïve populations. Despite recent advances in understanding pathogenesis, host response to infection remains poorly understood. Here we modelled a total of 162 metabolites across skin and liver tissues of 61 frogs from four populations (three long-exposed and one naïve to the fungus) of the Australian alpine tree frog (Litoria verreauxii alpina) throughout a longitudinal exposure experiment involving both infected and negative control individuals. We found that chytridiomycosis dramatically altered the organism-wide metabolism of clinically diseased frogs. Chytridiomycosis caused catastrophic failure of normal homeostatic mechanisms (interruption of biosynthetic and degradation metabolic pathways), and pronounced dysregulation of cellular energy metabolism. Key intermediates of the tricarboxylic acid cycle were markedly depleted, including in particular α-ketoglutarate and glutamate that together constitute a key nutrient pathway for immune processes. This study was the first to apply a non-targeted metabolomics approach to a fungal wildlife disease and specifically to dissect the host-pathogen interface of Bd-infected frogs. The patterns of metabolite accumulation we have identified reveal whole-body metabolic dysfunction induced by a fungal skin infection, and these findings have broad relevance for other fungal diseases.","container-title":"Scientific Reports","DOI":"10.1038/s41598-018-26427-z","ISSN":"2045-2322","issue":"1","language":"en","license":"2018 The Author(s)","note":"number: 1\npublisher: Nature Publishing Group","page":"8188","source":"www.nature.com","title":"Chytridiomycosis causes catastrophic organism-wide metabolic dysregulation including profound failure of cellular energy pathways","volume":"8","author":[{"family":"Grogan","given":"Laura F."},{"family":"Skerratt","given":"Lee F."},{"family":"Berger","given":"Lee"},{"family":"Cashins","given":"Scott D."},{"family":"Trengove","given":"Robert D."},{"family":"Gummer","given":"Joel P. A."}],"issued":{"date-parts":[["2018",5,29]]}}},{"id":"aW8cvW4I/mecgXid7","uris":["http://zotero.org/users/6401767/items/ETCR2KKV"],"itemData":{"id":126,"type":"article-journal","abstract":"Amphibian declines and extinctions are emblematic for the current sixth mass extinction event. Infectious drivers of these declines include the recently emerged fungal pathogens Batrachochytrium dendrobatidis and Batrachochytrium salamandrivorans (Chytridiomycota). The skin disease caused by these fungi is named chytridiomycosis and affects the vital function of amphibian skin. Not all amphibians respond equally to infection and host responses might range from resistant, over tolerant to susceptible. The clinical outcome of infection is highly dependent on the amphibian host, the fungal virulence and environmental determinants. B. dendrobatidis infects the skin of a large range of anurans, urodeles and caecilians, whereas to date the host range of B. salamandrivorans seems limited to urodeles. So far, the epidemic of B. dendrobatidis is mainly limited to Australian, neotropical, South European and West American amphibians, while for B. salamandrivorans it is limited to European salamanders. Other striking differences between both fungi include gross pathology and thermal preferences. With this review we aim to provide the reader with a state-of-the art of host-pathogen interactions for both fungi, in which new data pertaining to the interaction of B. dendrobatidis and B. salamandrivorans with the host’s skin are integrated. Furthermore, we pinpoint areas in which more detailed studies are necessary or which have not received the attention they merit.","container-title":"Veterinary Research","DOI":"10.1186/s13567-015-0266-0","ISSN":"0928-4249","journalAbbreviation":"Vet Res","note":"PMID: 26607488\nPMCID: PMC4660679","source":"PubMed Central","title":"Amphibian chytridiomycosis: a review with focus on fungus-host interactions","title-short":"Amphibian chytridiomycosis","URL":"https://www.ncbi.nlm.nih.gov/pmc/articles/PMC4660679/","volume":"46","author":[{"family":"Van Rooij","given":"Pascale"},{"family":"Martel","given":"An"},{"family":"Haesebrouck","given":"Freddy"},{"family":"Pasmans","given":"Frank"}],"accessed":{"date-parts":[["2020",7,20]]},"issued":{"date-parts":[["2015"]]}}}],"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(Fites et al., 2013; Grogan et al., 2018; Van Rooij et al., 2015)</w:t>
      </w:r>
      <w:r w:rsidRPr="002579E0">
        <w:rPr>
          <w:rFonts w:ascii="Times New Roman" w:hAnsi="Times New Roman" w:cs="Times New Roman"/>
        </w:rPr>
        <w:fldChar w:fldCharType="end"/>
      </w:r>
      <w:r w:rsidRPr="002579E0">
        <w:rPr>
          <w:rFonts w:ascii="Times New Roman" w:hAnsi="Times New Roman" w:cs="Times New Roman"/>
        </w:rPr>
        <w:t xml:space="preserve">. As a result, understanding how microbes are acquired and sustained on the host has important implications for understanding host-microbe relations and the conservation of amphibians. </w:t>
      </w:r>
    </w:p>
    <w:p w14:paraId="0268EEC2" w14:textId="77D55787"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 xml:space="preserve">To what extent amphibian hosts shape their cutaneous microbiome has been explored previously, with studies coming to predominantly three conclusions. First, across all studies, the environment was the largest influence in the cutaneous microbiome, acting as a reservoir through which continuous horizontal colonization can occur. This can be concluded from strong correlations between amphibians and their immediate cover objects and higher similarities among co-occurring species than between a single species from different geographical sites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{"citationID":"vogIv9Pf","properties":{"formattedCitation":"(Bird et al., 2018a; Fitzpatrick &amp; Allison, 2014; Wolz et al., 2018)","plainCitation":"(Bird et al., 2018a; Fitzpatrick &amp; Allison, 2014; Wolz et al., 2018)","noteIndex":0},"citationItems":[{"id":460,"uris":["http://zotero.org/users/6401767/items/FDD5WYCC"],"itemData":{"id":460,"type":"article-journal","abstract":"A multitude of microorganisms live on and within plant and animal hosts, yet the ecology and evolution of these microbial communities remains poorly understood in many taxa. This study examined the extent to which environmental factors and host taxonomic identity explain microbiome variation within two salamander genera, Ensatina and Batrachoseps, in the family Plethodontidae. In particular we assessed whether microbiome differentiation paralleled host genetic distance at three levels of taxonomy: genus and high and low clade levels within Ensatina eschscholtzii. We predicted that more genetically related host populations would have more similar microbiomes than more distantly related host populations. We found that salamander microbiomes possess bacterial species that are most likely acquired from their surrounding soil environment, but the relative representation of those bacterial species is significantly different on the skin of salamanders compared to soil. We found differences in skin microbiome alpha diversity among Ensatina higher and lower clade groups, as well as differences between Ensatina and Batrachoseps. We also found that relative microbiome composition (beta diversity) did vary between Ensatina lower clades, but differences were driven by only a few clades and not correlated to clade genetic distances. We conclude this difference was likely a result of Ensatina lower clades being associated with geographic location and habitat type, as salamander identity at higher taxonomic levels (genus and Ensatina higher clades) was a weak predictor of microbiome composition. These results lead us to conclude that environmental factors are likely playing a more significant role in salamander cutaneous microbiome assemblages than host-specific traits.","container-title":"Frontiers in Microbiology","DOI":"10.3389/fmicb.2018.00442","ISSN":"1664-302X","journalAbbreviation":"Front. Microbiol.","language":"English","note":"publisher: Frontiers","source":"Frontiers","title":"Skin Microbiomes of California Terrestrial Salamanders Are Influenced by Habitat More Than Host Phylogeny","URL":"https://www.frontiersin.org/articles/10.3389/fmicb.2018.00442/full?report=reader","volume":"9","author":[{"family":"Bird","given":"Alicia K."},{"family":"Prado-Irwin","given":"Sofia R."},{"family":"Vredenburg","given":"Vance T."},{"family":"Zink","given":"Andrew G."}],"accessed":{"date-parts":[["2020",7,21]]},"issued":{"date-parts":[["2018"]]}}},{"id":147,"uris":["http://zotero.org/users/6401767/items/SGZA38D6"],"itemData":{"id":147,"type":"article-journal","abstract":"Bacteria on salamander skin are not exactly the same as the bacteria on the logs they hide under, but the differences are surprisingly subtle.","container-title":"FEMS Microbiology Ecology","DOI":"10.1111/1574-6941.12314","ISSN":"0168-6496","issue":"3","journalAbbreviation":"FEMS Microbiol Ecol","language":"en","note":"publisher: Oxford Academic","page":"482-494","source":"academic.oup.com","title":"Similarity and differentiation between bacteria associated with skin of salamanders (Plethodon jordani) and free-living assemblages","volume":"88","author":[{"family":"Fitzpatrick","given":"Benjamin M."},{"family":"Allison","given":"Amanda L."}],"issued":{"date-parts":[["2014",6,1]]}}},{"id":461,"uris":["http://zotero.org/users/6401767/items/CTKFB4DV"],"itemData":{"id":461,"type":"article-journal","abstract":"The amphibian skin microbiome is recognized for its role in defence against pathogens, including the deadly fungal pathogen Batrachochytrium dendrobatidis (Bd). Yet, we have little understanding of evolutionary and ecological processes that structure these communities, especially for salamanders and closely related species. We investigated patterns in the distribution of bacterial communities on Plethodon salamander skin across host species and environments. Quantifying salamander skin microbiome structure contributes to our understanding of how host-associated bacteria are distributed across the landscape, among host species, and their putative relationship with disease. We characterized skin microbiome structure (alpha-diversity, beta-diversity and bacterial operational taxonomic unit [OTU] abundances) using 16S rRNA gene sequencing for co-occurring Plethodon salamander species (35 Plethodon cinereus, 17 Plethodon glutinosus, 10 Plethodon cylindraceus) at three localities to differentiate the effects of host species from environmental factors on the microbiome. We sampled the microbiome of P. cinereus along an elevational gradient (n = 50, 700–1,000 m a.s.l.) at one locality to determine whether elevation predicts microbiome structure. Finally, we quantified prevalence and abundance of putatively anti-Bd bacteria to determine if Bd-inhibitory bacteria are dominant microbiome members. Co-occurring salamanders had similar microbiome structure, but among sites salamanders had dissimilar microbiome structure for beta-diversity and abundance of 28 bacterial OTUs. We found that alpha-diversity increased with elevation, beta-diversity and the abundance of 17 bacterial OTUs changed with elevation (16 OTUs decreasing, 1 OTU increasing). We detected 11 putatively anti-Bd bacterial OTUs that were present on 90% of salamanders and made up an average relative abundance of 83% (SD ± 8.5) per salamander. All salamanders tested negative for Bd. We conclude that environment is more influential in shaping skin microbiome structure than host differences in these congeneric species, and suggest that environmental characteristics that covary with elevation influence microbiome structure. High prevalence and abundance of anti-Bd bacteria may contribute to low Bd levels in these populations of Plethodon salamanders.","container-title":"Journal of Animal Ecology","DOI":"10.1111/1365-2656.12726","ISSN":"1365-2656","issue":"2","language":"en","note":"_eprint: https://besjournals.onlinelibrary.wiley.com/doi/pdf/10.1111/1365-2656.12726","page":"341-353","source":"Wiley Online Library","title":"Effects of host species and environment on the skin microbiome of Plethodontid salamanders","volume":"87","author":[{"family":"Wolz","given":"Carly R. Muletz"},{"family":"Yarwood","given":"Stephanie A."},{"family":"Grant","given":"Evan H. Campbell"},{"family":"Fleischer","given":"Robert C."},{"family":"Lips","given":"Karen R."}],"issued":{"date-parts":[["2018"]]}}}],"schema":"https://github.com/citation-style-language/schema/raw/master/csl-citation.json"}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(Bird et al., 2018a; Fitzpatrick &amp; Allison, 2014; Wolz et al., 2018)</w:t>
      </w:r>
      <w:r w:rsidRPr="002579E0">
        <w:rPr>
          <w:rFonts w:ascii="Times New Roman" w:hAnsi="Times New Roman" w:cs="Times New Roman"/>
        </w:rPr>
        <w:fldChar w:fldCharType="end"/>
      </w:r>
      <w:r w:rsidRPr="002579E0">
        <w:rPr>
          <w:rFonts w:ascii="Times New Roman" w:hAnsi="Times New Roman" w:cs="Times New Roman"/>
        </w:rPr>
        <w:t xml:space="preserve">. Differences in environmental pools are reflected in skin microbial communities, with elevation, pH, and temperature being the dominant drivers of free-living assemblages </w:t>
      </w:r>
      <w:r w:rsidRPr="002579E0">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{"citationID":"zYtyPeeh","properties":{"formattedCitation":"(Jim\\uc0\\u233{}nez &amp; Sommer, 2016; Kueneman et al., 2019)","plainCitation":"(Jiménez &amp; Sommer, 2016; Kueneman et al., 2019)","noteIndex":0},"citationItems":[{"id":104,"uris":["http://zotero.org/users/6401767/items/AJ6K29MF"],"itemData":{"id":104,"type":"article-journal","container-title":"Biodiversity and Conservation","DOI":"10.1007/s10531-016-1272-x","issue":"4","journalAbbreviation":"Biodiversity and Conservation","page":"763-786","title":"The amphibian microbiome: natural range of variation, pathogenic dysbiosis, and role in conservation","volume":"26","author":[{"family":"Jiménez","given":"Randall R."},{"family":"Sommer","given":"Simone"}],"issued":{"date-parts":[["2016",12,9]]}}},{"id":456,"uris":["http://zotero.org/users/6401767/items/4JM2N6EW"],"itemData":{"id":456,"type":"article-journal","abstract":"Animal-associated microbiomes are integral to host health, yet key biotic and abiotic factors that shape host-associated microbial communities at the global scale remain poorly understood. We investigated global patterns in amphibian skin bacterial communities, incorporating samples from 2,349 individuals representing 205 amphibian species across a broad biogeographic range. We analysed how biotic and abiotic factors correlate with skin microbial communities using multiple statistical approaches. Global amphibian skin bacterial richness was consistently correlated with temperature-associated factors. We found more diverse skin microbiomes in environments with colder winters and less stable thermal conditions compared with environments with warm winters and less annual temperature variation. We used bioinformatically predicted bacterial growth rates, dormancy genes and antibiotic synthesis genes, as well as inferred bacterial thermal growth optima to propose mechanistic hypotheses that may explain the observed patterns. We conclude that temporal and spatial characteristics of the host’s macro-environment mediate microbial diversity.","container-title":"Nature Ecology &amp; Evolution","DOI":"10.1038/s41559-019-0798-1","ISSN":"2397-334X","issue":"3","language":"en","license":"2019 The Author(s), under exclusive licence to Springer Nature Limited","note":"number: 3\npublisher: Nature Publishing Group","page":"381-389","source":"www.nature.com","title":"Community richness of amphibian skin bacteria correlates with bioclimate at the global scale","volume":"3","author":[{"family":"Kueneman","given":"Jordan G."},{"family":"Bletz","given":"Molly C."},{"family":"McKenzie","given":"Valerie J."},{"family":"Becker","given":"C. Guilherme"},{"family":"Joseph","given":"Maxwell B."},{"family":"Abarca","given":"Juan G."},{"family":"Archer","given":"Holly"},{"family":"Arellano","given":"Ana Lisette"},{"family":"Bataille","given":"Arnaud"},{"family":"Becker","given":"Matthew"},{"family":"Belden","given":"Lisa K."},{"family":"Crottini","given":"Angelica"},{"family":"Geffers","given":"Robert"},{"family":"Haddad","given":"Célio F. B."},{"family":"Harris","given":"Reid N."},{"family":"Holden","given":"Whitney M."},{"family":"Hughey","given":"Myra"},{"family":"Jarek","given":"Michael"},{"family":"Kearns","given":"Patrick J."},{"family":"Kerby","given":"Jacob L."},{"family":"Kielgast","given":"Jos"},{"family":"Kurabayashi","given":"Atsushi"},{"family":"Longo","given":"Ana V."},{"family":"Loudon","given":"Andrew"},{"family":"Medina","given":"Daniel"},{"family":"Nuñez","given":"José J."},{"family":"Perl","given":"R. G. Bina"},{"family":"Pinto-Tomás","given":"Adrián"},{"family":"Rabemananjara","given":"Falitiana C. E."},{"family":"Rebollar","given":"Eria A."},{"family":"Rodríguez","given":"Ariel"},{"family":"Rollins-Smith","given":"Louise"},{"family":"Stevenson","given":"Robert"},{"family":"Tebbe","given":"Christoph C."},{"family":"Vargas Asensio","given":"Gabriel"},{"family":"Waldman","given":"Bruce"},{"family":"Walke","given":"Jenifer B."},{"family":"Whitfield","given":"Steven M."},{"family":"Zamudio","given":"Kelly R."},{"family":"Zúñiga Chaves","given":"Ibrahim"},{"family":"Woodhams","given":"Douglas C."},{"family":"Vences","given":"Miguel"}],"issued":{"date-parts":[["2019",3]]}}}],"schema":"https://github.com/citation-style-language/schema/raw/master/csl-citation.json"} </w:instrText>
      </w:r>
      <w:r w:rsidRPr="002579E0">
        <w:rPr>
          <w:rFonts w:ascii="Times New Roman" w:hAnsi="Times New Roman" w:cs="Times New Roman"/>
        </w:rPr>
        <w:fldChar w:fldCharType="separate"/>
      </w:r>
      <w:r w:rsidR="00CB244F" w:rsidRPr="00CB244F">
        <w:rPr>
          <w:rFonts w:ascii="Times New Roman" w:hAnsi="Times New Roman" w:cs="Times New Roman"/>
        </w:rPr>
        <w:t>(Jiménez &amp; Sommer, 2016; Kueneman et al., 2019)</w:t>
      </w:r>
      <w:r w:rsidRPr="002579E0">
        <w:rPr>
          <w:rFonts w:ascii="Times New Roman" w:hAnsi="Times New Roman" w:cs="Times New Roman"/>
        </w:rPr>
        <w:fldChar w:fldCharType="end"/>
      </w:r>
      <w:r w:rsidRPr="002579E0">
        <w:rPr>
          <w:rFonts w:ascii="Times New Roman" w:hAnsi="Times New Roman" w:cs="Times New Roman"/>
        </w:rPr>
        <w:t xml:space="preserve">. </w:t>
      </w:r>
    </w:p>
    <w:p w14:paraId="0E9C2F71" w14:textId="3800D427"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 xml:space="preserve">Secondly, all studies also found that host-associated samples differ from environmental samples in relative abundance and tend to be slightly less diverse. These patterns suggest that while the environment offers a pool of microbes for colonization, amphibians may have filtering mechanisms such as skin sloughing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{"citationID":"nwbyJB5F","properties":{"formattedCitation":"(Meyer et al., 2012)","plainCitation":"(Meyer et al., 2012)","noteIndex":0},"citationItems":[{"id":242,"uris":["http://zotero.org/users/6401767/items/JFQLMM6P"],"itemData":{"id":242,"type":"article-journal","abstract":"The emergence of disease as a significant global threat to amphibian diversity has generated considerable interest in amphibian defenses against cutaneous microbial infection and disease. To date, however, the influence of sloughing on the susceptibility of amphibians to infection and disease has been largely overlooked. To investigate the potential for sloughing to regulate topical microbial loads, the abundance of cultivable cutaneous bacteria and fungi in the cane toad Rhinella marina were compared before and after sloughing. Toads were also exposed to fluctuating thermal regimes (10−20 and 20−30°C) and variable photoperiods to investigate possible effects of season and climate on sloughing periodicity. Sloughing substantially reduced the abundance of cultivable cutaneous bacteria and fungi by up to 100%. The intermoult interval of toads maintained at 10−20°C was twice that of animals at 20−30°C and did not appear to thermally acclimate. Photoperiod had no discernable influence on sloughing periodicity. Results of this study suggest that normal sloughing cycles could play a significant role in controlling the persistence and build-up of cutaneous microbes, including pathogens. The loss of non-pathogenic commensal and protective skin microbiota after sloughing may also influence host susceptibility to cutaneous pathogens. We suggest that the spatio-temporal dynamics of chytridiomycosis, the widespread and often fatal disease caused by the fungal pathogen Batrachochytrium dendrobatidis, are related to temperature not only because of its effect on the growth of the fungus, but also because of its effect on the frequency of host sloughing.","container-title":"Diseases of Aquatic Organisms","DOI":"10.3354/dao02523","ISSN":"0177-5103, 1616-1580","issue":"3","journalAbbreviation":"Dis. Aquat. Org.","language":"en","page":"235-242","source":"DOI.org (Crossref)","title":"Changes in cutaneous microbial abundance with sloughing: possible implications for infection and disease in amphibians","title-short":"Changes in cutaneous microbial abundance with sloughing","volume":"101","author":[{"family":"Meyer","given":"Ea"},{"family":"Cramp","given":"Rl"},{"family":"Bernal","given":"Mh"},{"family":"Franklin","given":"Ce"}],"issued":{"date-parts":[["2012",11,19]]}}}],"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(Meyer et al., 2012)</w:t>
      </w:r>
      <w:r w:rsidRPr="002579E0">
        <w:rPr>
          <w:rFonts w:ascii="Times New Roman" w:hAnsi="Times New Roman" w:cs="Times New Roman"/>
        </w:rPr>
        <w:fldChar w:fldCharType="end"/>
      </w:r>
      <w:r w:rsidRPr="002579E0">
        <w:rPr>
          <w:rFonts w:ascii="Times New Roman" w:hAnsi="Times New Roman" w:cs="Times New Roman"/>
        </w:rPr>
        <w:t xml:space="preserve">, secretory products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{"citationID":"hrXJHjtC","properties":{"formattedCitation":"(Myers et al., 2012; Rollins-Smith, 2009)","plainCitation":"(Myers et al., 2012; Rollins-Smith, 2009)","noteIndex":0},"citationItems":[{"id":247,"uris":["http://zotero.org/users/6401767/items/WSVM8E76"],"itemData":{"id":247,"type":"article-journal","abstract":"A powerful mechanism for protection against disease in animals is synergy between metabolites present in the natural microbiota of the host and antimicrobial peptides (AMPs) produced by the host. We studied this method of protection in amphibians in regard to the lethal disease chytridiomycosis, which is caused by Batrachochytrium dendrobatidis (Bd). In this study, we show that the AMPs of Rana muscosa, as well as the metabolite 2,4-diacetylphloroglucinol (2,4-DAPG) from Pseudomonas fluorescens, a bacterial species normally found on the skin of R. muscosa, were inhibitory to the growth of Bd in vitro. When both AMPs and 2,4-DAPG were used in growth inhibition assays, they worked synergistically to inhibit the growth of Bd. This synergy resulted in reduced minimum concentrations necessary for inhibition by either 2,4-DAPG or AMPs. This inhibitory concentration of AMPs did not inhibit the growth of a P. fluorescens strain that produced 2,4-DAPG in vitro, although its growth was inhibited at higher peptide concentrations. These data suggest that the AMPs secreted onto frog skin and the metabolites secreted by the resident beneficial bacteria may work synergistically to enhance protection against Bd infection on amphibian skin. These results may aid conservation efforts to augment amphibian skins’ resistance to chytridiomycosis by introducing anti-Bd bacterial species that work synergistically with amphibian AMPs.","container-title":"Journal of Chemical Ecology","DOI":"10.1007/s10886-012-0170-2","ISSN":"1573-1561","issue":"8","journalAbbreviation":"J Chem Ecol","language":"en","page":"958-965","source":"Springer Link","title":"Synergistic Inhibition of the Lethal Fungal Pathogen Batrachochytrium dendrobatidis: The Combined Effect of Symbiotic Bacterial Metabolites and Antimicrobial Peptides of the Frog Rana muscosa","title-short":"Synergistic Inhibition of the Lethal Fungal Pathogen Batrachochytrium dendrobatidis","volume":"38","author":[{"family":"Myers","given":"Jillian M."},{"family":"Ramsey","given":"Jeremy P."},{"family":"Blackman","given":"Alison L."},{"family":"Nichols","given":"A. Elizabeth"},{"family":"Minbiole","given":"Kevin P. C."},{"family":"Harris","given":"Reid N."}],"issued":{"date-parts":[["2012",8,1]]}}},{"id":246,"uris":["http://zotero.org/users/6401767/items/JAWQWEDT"],"itemData":{"id":246,"type":"article-journal","abstract":"Amphibian species have experienced population declines and extinctions worldwide that are unprecedented in recent history. Many of these recent declines have been linked to a pathogenic skin fungus, Batrachochytrium dendrobatidis, or to iridoviruses of the genus Ranavirus. One of the first lines of defense against pathogens that enter by way of the skin are antimicrobial peptides synthesized and stored in dermal granular glands and secreted into the mucus following alarm or injury. Here, I review what is known about the capacity of amphibian antimicrobial peptides from diverse amphibians to inhibit B. dendrobatidis or ranavirus infections. When multiple species were compared for the effectiveness of their in vitro antimicrobial peptides defenses against B. dendrobatidis, non-declining species of rainforest amphibians had more effective antimicrobial peptides than species in the same habitat that had recently experienced population declines. Further, there was a significant correlation between the effectiveness of the antimicrobial peptides and resistance of the species to experimental infection. These studies support the hypothesis that antimicrobial peptides are an important component of innate defenses against B. dendrobatidis. Some amphibian antimicrobial peptides inhibit ranavirus infections and infection of human T lymphocytes by the human immunodeficiency virus (HIV). An effective antimicrobial peptide defense against skin pathogens appears to depend on a diverse array of genes expressing antimicrobial peptides. The production of antimicrobial peptides may be regulated by signals from the pathogens. However, this defense must also accommodate potentially beneficial microbes on the skin that compete or inhibit growth of the pathogens. How this delicate balancing act is accomplished is an important area of future research.","collection-title":"Amphibian Antimicrobial Peptides","container-title":"Biochimica et Biophysica Acta (BBA) - Biomembranes","DOI":"10.1016/j.bbamem.2009.03.008","ISSN":"0005-2736","issue":"8","journalAbbreviation":"Biochimica et Biophysica Acta (BBA) - Biomembranes","language":"en","page":"1593-1599","source":"ScienceDirect","title":"The role of amphibian antimicrobial peptides in protection of amphibians from pathogens linked to global amphibian declines","volume":"1788","author":[{"family":"Rollins-Smith","given":"Louise A."}],"issued":{"date-parts":[["2009",8,1]]}}}],"schema":"https://github.com/citation-style-language/schema/raw/master/csl-citation.json"}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(Myers et al., 2012; Rollins-Smith, 2009)</w:t>
      </w:r>
      <w:r w:rsidRPr="002579E0">
        <w:rPr>
          <w:rFonts w:ascii="Times New Roman" w:hAnsi="Times New Roman" w:cs="Times New Roman"/>
        </w:rPr>
        <w:fldChar w:fldCharType="end"/>
      </w:r>
      <w:r w:rsidRPr="002579E0">
        <w:rPr>
          <w:rFonts w:ascii="Times New Roman" w:hAnsi="Times New Roman" w:cs="Times New Roman"/>
        </w:rPr>
        <w:t xml:space="preserve">, ontogeny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{"citationID":"UQowzqhs","properties":{"formattedCitation":"(Kueneman et al., 2014; Longo et al., 2015)","plainCitation":"(Kueneman et al., 2014; Longo et al., 2015)","noteIndex":0},"citationItems":[{"id":455,"uris":["http://zotero.org/users/6401767/items/J5YKKB7A"],"itemData":{"id":455,"type":"article-journal","abstract":"Skin-associated bacteria of amphibians are increasingly recognized for their role in defence against pathogens, yet we have little understanding of their basic ecology. Here, we use high-throughput 16S rRNA gene sequencing to examine the host and environmental influences on the skin microbiota of the cohabiting amphibian species Anaxyrus boreas, Pseudacris regilla, Taricha torosa and Lithobates catesbeianus from the Central Valley in California. We also studied populations of Rana cascadae over a large geographic range in the Klamath Mountain range of Northern California, and across developmental stages within a single site. Dominant bacterial phylotypes on amphibian skin included taxa from Bacteroidetes, Gammaproteobacteria, Alphaproteobacteria, Firmicutes, Sphingobacteria and Actinobacteria. Amphibian species identity was the strongest predictor of microbial community composition. Secondarily, within a given amphibian species, wetland site explained significant variation. Amphibian-associated microbiota differed systematically from microbial assemblages in their environments. Rana cascadae tadpoles have skin bacterial communities distinct from postmetamorphic conspecifics, indicating a strong developmental shift in the skin microbes following metamorphosis. Establishing patterns observed in the skin microbiota of wild amphibians and environmental factors that underlie them is necessary to understand skin symbiont community assembly, and ultimately, the role skin microbiota play in the extended host phenotype including disease resistance.","container-title":"Molecular Ecology","DOI":"10.1111/mec.12510","ISSN":"1365-294X","issue":"6","journalAbbreviation":"Mol. Ecol.","language":"eng","note":"PMID: 24171949","page":"1238-1250","source":"PubMed","title":"The amphibian skin-associated microbiome across species, space and life history stages","volume":"23","author":[{"family":"Kueneman","given":"Jordan G."},{"family":"Parfrey","given":"Laura Wegener"},{"family":"Woodhams","given":"Douglas C."},{"family":"Archer","given":"Holly M."},{"family":"Knight","given":"Rob"},{"family":"McKenzie","given":"Valerie J."}],"issued":{"date-parts":[["2014",3]]}}},{"id":454,"uris":["http://zotero.org/users/6401767/items/7QHSQCJ3"],"itemData":{"id":454,"type":"article-journal","container-title":"Royal Society Open Science","DOI":"10.1098/rsos.140377","ISSN":"2054-5703, 2054-5703","issue":"7","journalAbbreviation":"R. Soc. open sci.","language":"en","page":"140377","source":"DOI.org (Crossref)","title":"Seasonal and ontogenetic variation of skin microbial communities and relationships to natural disease dynamics in declining amphibians","volume":"2","author":[{"family":"Longo","given":"Ana V."},{"family":"Savage","given":"Anna E."},{"family":"Hewson","given":"Ian"},{"family":"Zamudio","given":"Kelly R."}],"issued":{"date-parts":[["2015",7]]}}}],"schema":"https://github.com/citation-style-language/schema/raw/master/csl-citation.json"}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(Kueneman et al., 2014; Longo et al., 2015)</w:t>
      </w:r>
      <w:r w:rsidRPr="002579E0">
        <w:rPr>
          <w:rFonts w:ascii="Times New Roman" w:hAnsi="Times New Roman" w:cs="Times New Roman"/>
        </w:rPr>
        <w:fldChar w:fldCharType="end"/>
      </w:r>
      <w:r w:rsidRPr="002579E0">
        <w:rPr>
          <w:rFonts w:ascii="Times New Roman" w:hAnsi="Times New Roman" w:cs="Times New Roman"/>
        </w:rPr>
        <w:t xml:space="preserve">, diet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{"citationID":"UWKTQysk","properties":{"formattedCitation":"(Antwis et al., 2014)","plainCitation":"(Antwis et al., 2014)","noteIndex":0},"citationItems":[{"id":245,"uris":["http://zotero.org/users/6401767/items/K6MK9H67"],"itemData":{"id":245,"type":"article-journal","abstract":"Amphibians support symbiotic bacterial communities on their skin that protect against a range of infectious pathogens, including the amphibian chytrid fungus. The conditions under which amphibians are maintained in captivity (e.g. diet, substrate, enrichment) in ex situ conservation programmes may affect the composition of the bacterial community. In addition, ex situ amphibian populations may support different bacterial communities in comparison to in situ populations of the same species. This could have implications for the suitability of populations intended for reintroduction, as well as the success of probiotic bacterial inoculations intended to provide amphibians with a bacterial community that resists invasion by the chytrid fungus. We aimed to investigate the effect of a carotenoid-enriched diet on the culturable bacterial community associated with captive red-eyed tree frogs (Agalychnis callidryas) and make comparisons to bacteria isolated from a wild population from the Chiquibul Rainforest in Belize. We successfully showed carotenoid availability influences the overall community composition, species richness and abundance of the bacterial community associated with the skin of captive frogs, with A. callidryas fed a carotenoid-enriched diet supporting a greater species richness and abundance of bacteria than those fed a carotenoid-free diet. Our results suggest that availability of carotenoids in the diet of captive frogs is likely to be beneficial for the bacterial community associated with the skin. We also found wild A. callidryas hosted more than double the number of different bacterial species than captive frogs with very little commonality between species. This suggests frogs in captivity may support a reduced and diverged bacterial community in comparison to wild populations of the same species, which could have particular relevance for ex situ conservation projects.","container-title":"PLOS ONE","DOI":"10.1371/journal.pone.0085563","issue":"1","journalAbbreviation":"PLOS ONE","note":"publisher: Public Library of Science","page":"e85563","title":"Ex situ Diet Influences the Bacterial Community Associated with the Skin of Red-Eyed Tree Frogs (Agalychnis callidryas)","volume":"9","author":[{"family":"Antwis","given":"Rachael E."},{"family":"Haworth","given":"Rachel L."},{"family":"Engelmoer","given":"Daniel J. P."},{"family":"Ogilvy","given":"Victoria"},{"family":"Fidgett","given":"Andrea L."},{"family":"Preziosi","given":"Richard F."}],"issued":{"date-parts":[["2014",1,9]]}}}],"schema":"https://github.com/citation-style-language/schema/raw/master/csl-citation.json"}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(Antwis et al., 2014)</w:t>
      </w:r>
      <w:r w:rsidRPr="002579E0">
        <w:rPr>
          <w:rFonts w:ascii="Times New Roman" w:hAnsi="Times New Roman" w:cs="Times New Roman"/>
        </w:rPr>
        <w:fldChar w:fldCharType="end"/>
      </w:r>
      <w:r w:rsidRPr="002579E0">
        <w:rPr>
          <w:rFonts w:ascii="Times New Roman" w:hAnsi="Times New Roman" w:cs="Times New Roman"/>
        </w:rPr>
        <w:t xml:space="preserve">, and habitat selection </w:t>
      </w:r>
      <w:r w:rsidR="006740D4">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{"citationID":"a2qe95eo2on","properties":{"formattedCitation":"(Bletz, Archer, et al., 2017)","plainCitation":"(Bletz, Archer, et al., 2017)","noteIndex":0},"citationItems":[{"id":125,"uris":["http://zotero.org/users/6401767/items/ZGZT8AMH"],"itemData":{"id":125,"type":"article-journal","abstract":"Host-associated microbiotas of vertebrates are diverse and complex communities that contribute to host health. In particular, for amphibians, cutaneous microbial communities likely play a significant role in pathogen defense; however, our ecological understanding of these communities is still in its infancy. Here we take advantage of the fully endemic and locally species-rich amphibian fauna of Madagascar to investigate the factors structuring amphibian skin microbiota on a large scale. Using amplicon-based sequencing, we evaluate how multiple host species traits and site factors affect host bacterial diversity and community structure. Madagascar is home to over 400 native frog species, all of which are endemic to the island; more than 100 different species are known to occur in sympatry within multiple rainforest sites. We intensively sampled frog skin bacterial communities, from over 800 amphibians from 89 species across 30 sites in Madagascar during three field visits, and found that skin bacterial communities differed strongly from those of the surrounding environment. Richness of bacterial operational taxonomic units (OTUs) and phylogenetic diversity differed among host ecomorphs, with arboreal frogs exhibiting lower richness and diversity than terrestrial and aquatic frogs. Host ecomorphology was the strongest factor influencing microbial community structure, with host phylogeny and site parameters (latitude and elevation) explaining less but significant portions of the observed variation. Correlation analysis and topological congruency analyses revealed little to no phylosymbiosis for amphibian skin microbiota. Despite the observed geographic variation and low phylosymbiosis, we found particular OTUs that were differentially abundant between particular ecomorphs. For example, the genus Pigmentiphaga (Alcaligenaceae) was significantly enriched on arboreal frogs, Methylotenera (Methylophilaceae) was enriched on aquatic frogs, and Agrobacterium (Rhizobiaceae) was enriched on terrestrial frogs. The presence of shared bacterial OTUs across geographic regions for selected host genera suggests the presence of core microbial communities which in Madagascar, might be driven more strongly by a species’ preference for specific microhabitats than by the physical, physiological or biochemical properties of their skin. These results corroborate that both host and environmental factors are driving community assembly of amphibian cutaneous microbial communities, and provide an improved foundation for elucidating their role in disease resistance.","container-title":"Frontiers in Microbiology","DOI":"10.3389/fmicb.2017.01530","ISSN":"1664-302X","journalAbbreviation":"Front. Microbiol.","language":"English","note":"publisher: Frontiers","source":"Frontiers","title":"Host Ecology Rather Than Host Phylogeny Drives Amphibian Skin Microbial Community Structure in the Biodiversity Hotspot of Madagascar","URL":"https://www.frontiersin.org/articles/10.3389/fmicb.2017.01530/full","volume":"8","author":[{"family":"Bletz","given":"Molly C."},{"family":"Archer","given":"Holly"},{"family":"Harris","given":"Reid N."},{"family":"McKenzie","given":"Valerie J."},{"family":"Rabemananjara","given":"Falitiana C. E."},{"family":"Rakotoarison","given":"Andolalao"},{"family":"Vences","given":"Miguel"}],"accessed":{"date-parts":[["2020",7,21]]},"issued":{"date-parts":[["2017"]]}}}],"schema":"https://github.com/citation-style-language/schema/raw/master/csl-citation.json"} </w:instrText>
      </w:r>
      <w:r w:rsidR="006740D4">
        <w:rPr>
          <w:rFonts w:ascii="Times New Roman" w:hAnsi="Times New Roman" w:cs="Times New Roman"/>
        </w:rPr>
        <w:fldChar w:fldCharType="separate"/>
      </w:r>
      <w:r w:rsidR="004D2321">
        <w:rPr>
          <w:rFonts w:ascii="Times New Roman" w:hAnsi="Times New Roman" w:cs="Times New Roman"/>
        </w:rPr>
        <w:t>(Bletz, Archer, et al., 2017)</w:t>
      </w:r>
      <w:r w:rsidR="006740D4">
        <w:rPr>
          <w:rFonts w:ascii="Times New Roman" w:hAnsi="Times New Roman" w:cs="Times New Roman"/>
        </w:rPr>
        <w:fldChar w:fldCharType="end"/>
      </w:r>
      <w:r w:rsidRPr="002579E0">
        <w:rPr>
          <w:rFonts w:ascii="Times New Roman" w:hAnsi="Times New Roman" w:cs="Times New Roman"/>
        </w:rPr>
        <w:t xml:space="preserve">. It is also plausible that ecological processes, such as priority effects, can facilitate or inhibit the colonization of immigrants through the metabolic activities of residing community members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{"citationID":"1VrybGxp","properties":{"formattedCitation":"(Toju et al., 2018)","plainCitation":"(Toju et al., 2018)","noteIndex":0},"citationItems":[{"id":199,"uris":["http://zotero.org/users/6401767/items/Y7J3985W"],"itemData":{"id":199,"type":"article-journal","abstract":"The order of species arrival can influence how species interact with one another and, consequently, which species may coexist in local communities. This phenomenon, called priority effects, has been observed in various types of communities, but it remains unclear whether priority effects persist over the long term spanning multiple generations of local communities in metacommunities. Focusing on bacteria and yeasts that colonize floral nectar of the sticky monkey flower, Mimulus aurantiacus, via hummingbirds and other flower-visiting animals, we experimentally manipulated initial microbial dominance on plants (regarded as metacommunities) to examine whether its effects persisted across multiple generations of flowers (regarded as local microbial habitats). The experimental introduction of Neokomagataea (= Gluconobacter) bacteria and Metschnikowia yeasts into wild flowers showed that the effects of initial dominance were observable across multiple floral generations. Three weeks after introduction, corresponding approximately to three floral generations, Neokomagataea introduction led to exclusion of yeasts, whereas Metschnikowia introduction did not result in the exclusion of Neokomagataea. Our results suggest that, even when local habitats are ephemeral, priority effects may influence multiple generations of local communities within metacommunities.","container-title":"Oikos","DOI":"10.1111/oik.04243","ISSN":"1600-0706","issue":"3","language":"en","note":"_eprint: https://onlinelibrary.wiley.com/doi/pdf/10.1111/oik.04243","page":"345-352","source":"Wiley Online Library","title":"Priority effects can persist across floral generations in nectar microbial metacommunities","volume":"127","author":[{"family":"Toju","given":"Hirokazu"},{"family":"Vannette","given":"Rachel L."},{"family":"Gauthier","given":"Marie-Pierre L."},{"family":"Dhami","given":"Manpreet K."},{"family":"Fukami","given":"Tadashi"}],"issued":{"date-parts":[["2018"]]}}}],"schema":"https://github.com/citation-style-language/schema/raw/master/csl-citation.json"}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(Toju et al., 2018)</w:t>
      </w:r>
      <w:r w:rsidRPr="002579E0">
        <w:rPr>
          <w:rFonts w:ascii="Times New Roman" w:hAnsi="Times New Roman" w:cs="Times New Roman"/>
        </w:rPr>
        <w:fldChar w:fldCharType="end"/>
      </w:r>
      <w:r w:rsidRPr="002579E0">
        <w:rPr>
          <w:rFonts w:ascii="Times New Roman" w:hAnsi="Times New Roman" w:cs="Times New Roman"/>
        </w:rPr>
        <w:t xml:space="preserve">. A less often discussed possibility is that animal skin is a sink, an inhospitable habitat that free-living microbes fall upon by accident and gradually emigrate or die. In this case, differences between host samples and environmental samples would arise from differences in tolerance or mobility of microbial taxa. The observation of bacterial cell division on salamander skin via scanning electron microscopy shows that growth and reproduction can happen on the host </w:t>
      </w:r>
      <w:r w:rsidR="006740D4">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{"citationID":"avcelb3fhe","properties":{"formattedCitation":"(Lauer et al., 2007)","plainCitation":"(Lauer et al., 2007)","noteIndex":0},"citationItems":[{"id":194,"uris":["http://zotero.org/users/6401767/items/5ZQGVCTV"],"itemData":{"id":194,"type":"article-journal","container-title":"Copeia","DOI":"10.1643/0045-8511(2007)2007[630:CCBFTE]2.0.CO;2","ISSN":"0045-8511, 1938-5110","issue":"3","journalAbbreviation":"Copeia","language":"en","page":"630-640","source":"DOI.org (Crossref)","title":"Common Cutaneous Bacteria from the Eastern Red-Backed Salamander Can Inhibit Pathogenic Fungi","volume":"2007","author":[{"family":"Lauer","given":"Antje"},{"family":"Simon","given":"Mary Alice"},{"family":"Banning","given":"Jenifer L."},{"family":"André","given":"Emily"},{"family":"Duncan","given":"Karen"},{"family":"Harris","given":"Reid N."}],"issued":{"date-parts":[["2007",9,10]]}}}],"schema":"https://github.com/citation-style-language/schema/raw/master/csl-citation.json"} </w:instrText>
      </w:r>
      <w:r w:rsidR="006740D4">
        <w:rPr>
          <w:rFonts w:ascii="Times New Roman" w:hAnsi="Times New Roman" w:cs="Times New Roman"/>
        </w:rPr>
        <w:fldChar w:fldCharType="separate"/>
      </w:r>
      <w:r w:rsidR="004D2321">
        <w:rPr>
          <w:rFonts w:ascii="Times New Roman" w:hAnsi="Times New Roman" w:cs="Times New Roman"/>
        </w:rPr>
        <w:t>(Lauer et al., 2007)</w:t>
      </w:r>
      <w:r w:rsidR="006740D4">
        <w:rPr>
          <w:rFonts w:ascii="Times New Roman" w:hAnsi="Times New Roman" w:cs="Times New Roman"/>
        </w:rPr>
        <w:fldChar w:fldCharType="end"/>
      </w:r>
      <w:r w:rsidRPr="002579E0">
        <w:rPr>
          <w:rFonts w:ascii="Times New Roman" w:hAnsi="Times New Roman" w:cs="Times New Roman"/>
        </w:rPr>
        <w:t>, but does not confirm that host-associated populations are self-sustaining.</w:t>
      </w:r>
    </w:p>
    <w:p w14:paraId="18D4C6EA" w14:textId="574E6135"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Finally, some studies have emphasized the consistency of microbiomes within host species, and differences among host species</w:t>
      </w:r>
      <w:r w:rsidR="006740D4">
        <w:rPr>
          <w:rFonts w:ascii="Times New Roman" w:hAnsi="Times New Roman" w:cs="Times New Roman"/>
        </w:rPr>
        <w:t xml:space="preserve"> </w:t>
      </w:r>
      <w:r w:rsidR="006740D4">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{"citationID":"arlohb03h8","properties":{"formattedCitation":"(McKenzie et al., 2012; Prado-Irwin et al., 2017; Walke et al., 2014)","plainCitation":"(McKenzie et al., 2012; Prado-Irwin et al., 2017; Walke et al., 2014)","noteIndex":0},"citationItems":[{"id":498,"uris":["http://zotero.org/users/6401767/items/9BI3F6KR"],"itemData":{"id":498,"type":"article-journal","abstract":"Although all plant and animal species harbor microbial symbionts, we know surprisingly little about the specificity of microbial communities to their hosts. Few studies have compared the microbiomes of different species of animals, and fewer still have examined animals in the wild. We sampled four pond habitats in Colorado, USA, where multiple amphibian species were present. In total, 32 amphibian individuals were sampled from three different species including northern leopard frogs (Lithobates pipiens), western chorus frogs (Pseudacris triseriata) and tiger salamanders (Ambystoma tigrinum). We compared the diversity and composition of the bacterial communities on the skin of the collected individuals via barcoded pyrosequencing of the 16S rRNA gene. Dominant bacterial phyla included Acidobacteria, Actinobacteria, Bacteriodetes, Cyanobacteria, Firmicutes and Proteobacteria. In total, we found members of 18 bacterial phyla, comparable to the taxonomic diversity typically found on human skin. Levels of bacterial diversity varied strongly across species: L. pipiens had the highest diversity; A. tigrinum the lowest. Host species was a highly significant predictor of bacterial community similarity, and co-habitation within the same pond was not significant, highlighting that the skin-associated bacterial communities do not simply reflect those bacterial communities found in their surrounding environments. Innate species differences thus appear to regulate the structure of skin bacterial communities on amphibians. In light of recent discoveries that some bacteria on amphibian skin have antifungal activity, our finding suggests that host-specific bacteria may have a role in the species-specific resistance to fungal pathogens.","container-title":"The ISME Journal","DOI":"10.1038/ismej.2011.129","ISSN":"1751-7370","issue":"3","language":"en","license":"2012 The Author(s)","note":"number: 3\npublisher: Nature Publishing Group","page":"588-596","source":"www.nature.com","title":"Co-habiting amphibian species harbor unique skin bacterial communities in wild populations","volume":"6","author":[{"family":"McKenzie","given":"Valerie J."},{"family":"Bowers","given":"Robert M."},{"family":"Fierer","given":"Noah"},{"family":"Knight","given":"Rob"},{"family":"Lauber","given":"Christian L."}],"issued":{"date-parts":[["2012",3]]}}},{"id":124,"uris":["http://zotero.org/users/6401767/items/RBQSBPWM"],"itemData":{"id":124,"type":"article-journal","abstract":"Resident microbial communities living on amphibian skin can have significant effects on host health, yet the basic ecology of the host-microbiome relationship of many amphibian taxa is poorly understood. We characterized intraspecific variation in the skin microbiome of the salamander Ensatina eschscholtzii xanthoptica, a subspecies composed of four genetically distinct populations distributed throughout the San Francisco Bay Area and the Sierra Nevada mountains in California, USA. We found that salamanders from four geographically and genetically isolated populations harbor similar skin microbial communities, which are dominated by a common core set of bacterial taxa. Additionally, within a population, the skin microbiome does not appear to differ significantly between salamanders of different ages or sexes. In all cases, the salamander skin microbiomes were significantly different from those of the surrounding terrestrial environment. These results suggest that the relationship between E. e. xanthoptica salamanders and their resident skin microbiomes is conserved, possibly indicating a stable mutualism between the host and microbiome.","container-title":"Microbial Ecology","DOI":"10.1007/s00248-017-0986-y","ISSN":"1432-184X","issue":"3","journalAbbreviation":"Microb Ecol","language":"en","page":"745-756","source":"Springer Link","title":"Intraspecific Variation in the Skin-Associated Microbiome of a Terrestrial Salamander","volume":"74","author":[{"family":"Prado-Irwin","given":"Sofia R."},{"family":"Bird","given":"Alicia K."},{"family":"Zink","given":"Andrew G."},{"family":"Vredenburg","given":"Vance T."}],"issued":{"date-parts":[["2017",10,1]]}}},{"id":101,"uris":["http://zotero.org/users/6401767/items/TEKXLSN8"],"itemData":{"id":101,"type":"article-journal","container-title":"The ISME Journal","DOI":"10.1038/ismej.2014.77","ISSN":"1751-7362, 1751-7370","issue":"11","journalAbbreviation":"ISME J","language":"en","page":"2207-2217","source":"DOI.org (Crossref)","title":"Amphibian skin may select for rare environmental microbes","volume":"8","author":[{"family":"Walke","given":"Jenifer B"},{"family":"Becker","given":"Matthew H"},{"family":"Loftus","given":"Stephen C"},{"family":"House","given":"Leanna L"},{"family":"Cormier","given":"Guy"},{"family":"Jensen","given":"Roderick V"},{"family":"Belden","given":"Lisa K"}],"issued":{"date-parts":[["2014",11]]}}}],"schema":"https://github.com/citation-style-language/schema/raw/master/csl-citation.json"} </w:instrText>
      </w:r>
      <w:r w:rsidR="006740D4">
        <w:rPr>
          <w:rFonts w:ascii="Times New Roman" w:hAnsi="Times New Roman" w:cs="Times New Roman"/>
        </w:rPr>
        <w:fldChar w:fldCharType="separate"/>
      </w:r>
      <w:r w:rsidR="004D2321">
        <w:rPr>
          <w:rFonts w:ascii="Times New Roman" w:hAnsi="Times New Roman" w:cs="Times New Roman"/>
        </w:rPr>
        <w:t xml:space="preserve">(McKenzie et al., 2012; Prado-Irwin et al., 2017; </w:t>
      </w:r>
      <w:r w:rsidR="004D2321">
        <w:rPr>
          <w:rFonts w:ascii="Times New Roman" w:hAnsi="Times New Roman" w:cs="Times New Roman"/>
        </w:rPr>
        <w:lastRenderedPageBreak/>
        <w:t>Walke et al., 2014)</w:t>
      </w:r>
      <w:r w:rsidR="006740D4">
        <w:rPr>
          <w:rFonts w:ascii="Times New Roman" w:hAnsi="Times New Roman" w:cs="Times New Roman"/>
        </w:rPr>
        <w:fldChar w:fldCharType="end"/>
      </w:r>
      <w:r w:rsidRPr="002579E0">
        <w:rPr>
          <w:rFonts w:ascii="Times New Roman" w:hAnsi="Times New Roman" w:cs="Times New Roman"/>
        </w:rPr>
        <w:t xml:space="preserve">. Such patterns might be consistent with stabilizing selection on microbiome composition and have been interpreted as suggesting a defensive mutualism in which amphibians favor bacteria with anti-Bd metabolites </w:t>
      </w:r>
      <w:r w:rsidR="006740D4">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{"citationID":"amsor00tm8","properties":{"formattedCitation":"(Loudon et al., 2016; Prado-Irwin et al., 2017)","plainCitation":"(Loudon et al., 2016; Prado-Irwin et al., 2017)","noteIndex":0},"citationItems":[{"id":102,"uris":["http://zotero.org/users/6401767/items/TBGAK3AB"],"itemData":{"id":102,"type":"article-journal","abstract":"Skin bacterial communities can protect amphibians from a fungal pathogen; however, little is known about how these communities are maintained. We used a neutral model of community ecology to identify bacteria that are maintained on salamanders by selection or by dispersal from a bacterial reservoir (soil) and ecological drift. We found that 75% (9/12) of bacteria that were consistent with positive selection, &lt;1% of bacteria that were consistent with random dispersal and none of the bacteria that were consistent under negative selection had a 97% or greater match to antifungal isolates. Additionally we performed an experiment where salamanders were either provided or denied a bacterial reservoir and estimated immigration and loss (emigration and local extinction) rates of bacteria on salamanders in both treatments. Loss was strongly related to bacterial richness, suggesting competition is important for structuring the community. Bacteria closely related to antifungal isolates were more likely to persist on salamanders with or without a bacterial reservoir, suggesting they had a competitive advantage. Furthermore, over-represented and under-represented operational taxonomic units (OTUs) had similar persistence on salamanders when a bacterial reservoir was present. However, under-represented OTUs were less likely to persist in the absence of a bacterial reservoir, suggesting that the over-represented and under-represented bacteria were selected against or for on salamanders through time. Our ﬁndings from the neutral model, migration and persistence analyses show that bacteria that exhibit a high similarity to antifungal isolates persist on salamanders, which likely protect hosts against pathogens and improve ﬁtness. This research is one of the ﬁrst to apply ecological theory to investigate assembly of host associated-bacterial communities, which can provide insights for probiotic bioaugmentation as a conservation strategy against disease.","container-title":"Frontiers in Microbiology","DOI":"10.3389/fmicb.2016.00333","ISSN":"1664-302X","journalAbbreviation":"Front. Microbiol.","language":"en","source":"DOI.org (Crossref)","title":"Vertebrate Hosts as Islands: Dynamics of Selection, Immigration, Loss, Persistence, and Potential Function of Bacteria on Salamander Skin","title-short":"Vertebrate Hosts as Islands","URL":"http://journal.frontiersin.org/Article/10.3389/fmicb.2016.00333/abstract","volume":"7","author":[{"family":"Loudon","given":"Andrew H."},{"family":"Venkataraman","given":"Arvind"},{"family":"Van Treuren","given":"William"},{"family":"Woodhams","given":"Douglas C."},{"family":"Parfrey","given":"Laura Wegener"},{"family":"McKenzie","given":"Valerie J."},{"family":"Knight","given":"Rob"},{"family":"Schmidt","given":"Thomas M."},{"family":"Harris","given":"Reid N."}],"accessed":{"date-parts":[["2020",8,10]]},"issued":{"date-parts":[["2016",3,16]]}}},{"id":124,"uris":["http://zotero.org/users/6401767/items/RBQSBPWM"],"itemData":{"id":124,"type":"article-journal","abstract":"Resident microbial communities living on amphibian skin can have significant effects on host health, yet the basic ecology of the host-microbiome relationship of many amphibian taxa is poorly understood. We characterized intraspecific variation in the skin microbiome of the salamander Ensatina eschscholtzii xanthoptica, a subspecies composed of four genetically distinct populations distributed throughout the San Francisco Bay Area and the Sierra Nevada mountains in California, USA. We found that salamanders from four geographically and genetically isolated populations harbor similar skin microbial communities, which are dominated by a common core set of bacterial taxa. Additionally, within a population, the skin microbiome does not appear to differ significantly between salamanders of different ages or sexes. In all cases, the salamander skin microbiomes were significantly different from those of the surrounding terrestrial environment. These results suggest that the relationship between E. e. xanthoptica salamanders and their resident skin microbiomes is conserved, possibly indicating a stable mutualism between the host and microbiome.","container-title":"Microbial Ecology","DOI":"10.1007/s00248-017-0986-y","ISSN":"1432-184X","issue":"3","journalAbbreviation":"Microb Ecol","language":"en","page":"745-756","source":"Springer Link","title":"Intraspecific Variation in the Skin-Associated Microbiome of a Terrestrial Salamander","volume":"74","author":[{"family":"Prado-Irwin","given":"Sofia R."},{"family":"Bird","given":"Alicia K."},{"family":"Zink","given":"Andrew G."},{"family":"Vredenburg","given":"Vance T."}],"issued":{"date-parts":[["2017",10,1]]}}}],"schema":"https://github.com/citation-style-language/schema/raw/master/csl-citation.json"} </w:instrText>
      </w:r>
      <w:r w:rsidR="006740D4">
        <w:rPr>
          <w:rFonts w:ascii="Times New Roman" w:hAnsi="Times New Roman" w:cs="Times New Roman"/>
        </w:rPr>
        <w:fldChar w:fldCharType="separate"/>
      </w:r>
      <w:r w:rsidR="004D2321">
        <w:rPr>
          <w:rFonts w:ascii="Times New Roman" w:hAnsi="Times New Roman" w:cs="Times New Roman"/>
        </w:rPr>
        <w:t>(Loudon et al., 2016; Prado-Irwin et al., 2017)</w:t>
      </w:r>
      <w:r w:rsidR="006740D4">
        <w:rPr>
          <w:rFonts w:ascii="Times New Roman" w:hAnsi="Times New Roman" w:cs="Times New Roman"/>
        </w:rPr>
        <w:fldChar w:fldCharType="end"/>
      </w:r>
      <w:r w:rsidR="006740D4">
        <w:rPr>
          <w:rFonts w:ascii="Times New Roman" w:hAnsi="Times New Roman" w:cs="Times New Roman"/>
        </w:rPr>
        <w:t>.</w:t>
      </w:r>
      <w:r w:rsidRPr="002579E0">
        <w:rPr>
          <w:rFonts w:ascii="Times New Roman" w:hAnsi="Times New Roman" w:cs="Times New Roman"/>
        </w:rPr>
        <w:t xml:space="preserve"> However, these interpretations remain speculative, and evidence for host-specificity is limited. Higher taxonomic comparisons have revealed significant differences between Anurans and Caudates, but perhaps blurred by microhabitat differences </w:t>
      </w:r>
      <w:r w:rsidR="006740D4">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{"citationID":"aofmsbm53c","properties":{"formattedCitation":"(Bletz, Perl, &amp; Vences, 2017; Kueneman et al., 2014)","plainCitation":"(Bletz, Perl, &amp; Vences, 2017; Kueneman et al., 2014)","noteIndex":0},"citationItems":[{"id":455,"uris":["http://zotero.org/users/6401767/items/J5YKKB7A"],"itemData":{"id":455,"type":"article-journal","abstract":"Skin-associated bacteria of amphibians are increasingly recognized for their role in defence against pathogens, yet we have little understanding of their basic ecology. Here, we use high-throughput 16S rRNA gene sequencing to examine the host and environmental influences on the skin microbiota of the cohabiting amphibian species Anaxyrus boreas, Pseudacris regilla, Taricha torosa and Lithobates catesbeianus from the Central Valley in California. We also studied populations of Rana cascadae over a large geographic range in the Klamath Mountain range of Northern California, and across developmental stages within a single site. Dominant bacterial phylotypes on amphibian skin included taxa from Bacteroidetes, Gammaproteobacteria, Alphaproteobacteria, Firmicutes, Sphingobacteria and Actinobacteria. Amphibian species identity was the strongest predictor of microbial community composition. Secondarily, within a given amphibian species, wetland site explained significant variation. Amphibian-associated microbiota differed systematically from microbial assemblages in their environments. Rana cascadae tadpoles have skin bacterial communities distinct from postmetamorphic conspecifics, indicating a strong developmental shift in the skin microbes following metamorphosis. Establishing patterns observed in the skin microbiota of wild amphibians and environmental factors that underlie them is necessary to understand skin symbiont community assembly, and ultimately, the role skin microbiota play in the extended host phenotype including disease resistance.","container-title":"Molecular Ecology","DOI":"10.1111/mec.12510","ISSN":"1365-294X","issue":"6","journalAbbreviation":"Mol. Ecol.","language":"eng","note":"PMID: 24171949","page":"1238-1250","source":"PubMed","title":"The amphibian skin-associated microbiome across species, space and life history stages","volume":"23","author":[{"family":"Kueneman","given":"Jordan G."},{"family":"Parfrey","given":"Laura Wegener"},{"family":"Woodhams","given":"Douglas C."},{"family":"Archer","given":"Holly M."},{"family":"Knight","given":"Rob"},{"family":"McKenzie","given":"Valerie J."}],"issued":{"date-parts":[["2014",3]]}}},{"id":135,"uris":["http://zotero.org/users/6401767/items/NBFY5B9X"],"itemData":{"id":135,"type":"article-journal","container-title":"Royal Society Open Science","DOI":"10.1098/rsos.170107","ISSN":"2054-5703, 2054-5703","issue":"4","journalAbbreviation":"R. Soc. open sci.","language":"en","page":"170107","source":"DOI.org (Crossref)","title":"Skin microbiota differs drastically between co-occurring frogs and newts","volume":"4","author":[{"family":"Bletz","given":"Molly C."},{"family":"Perl","given":"R. G. Bina"},{"family":"Vences","given":"Miguel"}],"issued":{"date-parts":[["2017",4]]}}}],"schema":"https://github.com/citation-style-language/schema/raw/master/csl-citation.json"} </w:instrText>
      </w:r>
      <w:r w:rsidR="006740D4">
        <w:rPr>
          <w:rFonts w:ascii="Times New Roman" w:hAnsi="Times New Roman" w:cs="Times New Roman"/>
        </w:rPr>
        <w:fldChar w:fldCharType="separate"/>
      </w:r>
      <w:r w:rsidR="004D2321">
        <w:rPr>
          <w:rFonts w:ascii="Times New Roman" w:hAnsi="Times New Roman" w:cs="Times New Roman"/>
        </w:rPr>
        <w:t>(Bletz, Perl, &amp; Vences, 2017; Kueneman et al., 2014)</w:t>
      </w:r>
      <w:r w:rsidR="006740D4">
        <w:rPr>
          <w:rFonts w:ascii="Times New Roman" w:hAnsi="Times New Roman" w:cs="Times New Roman"/>
        </w:rPr>
        <w:fldChar w:fldCharType="end"/>
      </w:r>
      <w:r w:rsidRPr="002579E0">
        <w:rPr>
          <w:rFonts w:ascii="Times New Roman" w:hAnsi="Times New Roman" w:cs="Times New Roman"/>
        </w:rPr>
        <w:t xml:space="preserve">. McKenzie et al. (2012) showed statistical differences between frog and salamander larvae within the same ponds, but differences between frog species were subtle or absent. In terrestrial salamanders, the similarity of cutaneous communities was associated with co-occurrence rather than host species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{"citationID":"a20u61jeiif","properties":{"formattedCitation":"(Allison, 2012)","plainCitation":"(Allison, 2012)","noteIndex":0},"citationItems":[{"id":"aW8cvW4I/MK38OuSi","uris":["http://zotero.org/users/6401767/items/TSFN63VQ"],"itemData":{"id":314,"type":"article-journal","abstract":"Semantic Scholar extracted view of &amp;quot;Diffuse interactions between symbiotic bacteria and salamanders&amp;quot; by A. Allison","container-title":"undefined","language":"en","source":"www.semanticscholar.org","title":"Diffuse interactions between symbiotic bacteria and salamanders","URL":"https://www.semanticscholar.org/paper/Diffuse-interactions-between-symbiotic-bacteria-and-Allison/2923fdcae79974fb1167975d8b046d88e2503787","author":[{"family":"Allison","given":"A."}],"accessed":{"date-parts":[["2021",10,23]]},"issued":{"date-parts":[["2012"]]}}}],"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(Allison, 2012)</w:t>
      </w:r>
      <w:r w:rsidRPr="002579E0">
        <w:rPr>
          <w:rFonts w:ascii="Times New Roman" w:hAnsi="Times New Roman" w:cs="Times New Roman"/>
        </w:rPr>
        <w:fldChar w:fldCharType="end"/>
      </w:r>
      <w:r w:rsidR="004B4B2A" w:rsidRPr="004B4B2A">
        <w:rPr>
          <w:rFonts w:ascii="Times New Roman" w:hAnsi="Times New Roman" w:cs="Times New Roman"/>
        </w:rPr>
        <w:t>.</w:t>
      </w:r>
      <w:r w:rsidR="004B4B2A">
        <w:rPr>
          <w:rFonts w:ascii="Times" w:hAnsi="Times"/>
        </w:rPr>
        <w:t xml:space="preserve"> </w:t>
      </w:r>
      <w:r w:rsidRPr="004B4B2A">
        <w:rPr>
          <w:rFonts w:ascii="Times New Roman" w:hAnsi="Times New Roman" w:cs="Times New Roman"/>
        </w:rPr>
        <w:t xml:space="preserve">Thus, any patterns of </w:t>
      </w:r>
      <w:proofErr w:type="spellStart"/>
      <w:r w:rsidRPr="004B4B2A">
        <w:rPr>
          <w:rFonts w:ascii="Times New Roman" w:hAnsi="Times New Roman" w:cs="Times New Roman"/>
        </w:rPr>
        <w:t>phylosymbiosis</w:t>
      </w:r>
      <w:proofErr w:type="spellEnd"/>
      <w:r w:rsidRPr="004B4B2A">
        <w:rPr>
          <w:rFonts w:ascii="Times New Roman" w:hAnsi="Times New Roman" w:cs="Times New Roman"/>
        </w:rPr>
        <w:t>, where more closely related hosts have more similar microbial communities, is likely attributed</w:t>
      </w:r>
      <w:r w:rsidRPr="002579E0">
        <w:rPr>
          <w:rFonts w:ascii="Times New Roman" w:hAnsi="Times New Roman" w:cs="Times New Roman"/>
        </w:rPr>
        <w:t xml:space="preserve"> more to differences in environmental source communities associated with different microhabitats rather than trait-based filtering, particularly of closely related hosts </w:t>
      </w:r>
      <w:r w:rsidRPr="002579E0">
        <w:rPr>
          <w:rFonts w:ascii="Times New Roman" w:hAnsi="Times New Roman" w:cs="Times New Roman"/>
        </w:rPr>
        <w:fldChar w:fldCharType="begin"/>
      </w:r>
      <w:r w:rsidR="00AE0227" w:rsidRPr="002579E0">
        <w:rPr>
          <w:rFonts w:ascii="Times New Roman" w:hAnsi="Times New Roman" w:cs="Times New Roman"/>
        </w:rPr>
        <w:instrText xml:space="preserve"> ADDIN ZOTERO_ITEM CSL_CITATION {"citationID":"VXX1BQxJ","properties":{"formattedCitation":"(Bird et al., 2018; Bletz, Archer, et al., 2017; Ellison et al., 2019; Kohl, 2020)","plainCitation":"(Bird et al., 2018; Bletz, Archer, et al., 2017; Ellison et al., 2019; Kohl, 2020)","dontUpdate":true,"noteIndex":0},"citationItems":[{"id":460,"uris":["http://zotero.org/users/6401767/items/FDD5WYCC"],"itemData":{"id":460,"type":"article-journal","abstract":"A multitude of microorganisms live on and within plant and animal hosts, yet the ecology and evolution of these microbial communities remains poorly understood in many taxa. This study examined the extent to which environmental factors and host taxonomic identity explain microbiome variation within two salamander genera, Ensatina and Batrachoseps, in the family Plethodontidae. In particular we assessed whether microbiome differentiation paralleled host genetic distance at three levels of taxonomy: genus and high and low clade levels within Ensatina eschscholtzii. We predicted that more genetically related host populations would have more similar microbiomes than more distantly related host populations. We found that salamander microbiomes possess bacterial species that are most likely acquired from their surrounding soil environment, but the relative representation of those bacterial species is significantly different on the skin of salamanders compared to soil. We found differences in skin microbiome alpha diversity among Ensatina higher and lower clade groups, as well as differences between Ensatina and Batrachoseps. We also found that relative microbiome composition (beta diversity) did vary between Ensatina lower clades, but differences were driven by only a few clades and not correlated to clade genetic distances. We conclude this difference was likely a result of Ensatina lower clades being associated with geographic location and habitat type, as salamander identity at higher taxonomic levels (genus and Ensatina higher clades) was a weak predictor of microbiome composition. These results lead us to conclude that environmental factors are likely playing a more significant role in salamander cutaneous microbiome assemblages than host-specific traits.","container-title":"Frontiers in Microbiology","DOI":"10.3389/fmicb.2018.00442","ISSN":"1664-302X","journalAbbreviation":"Front. Microbiol.","language":"English","note":"publisher: Frontiers","source":"Frontiers","title":"Skin Microbiomes of California Terrestrial Salamanders Are Influenced by Habitat More Than Host Phylogeny","URL":"https://www.frontiersin.org/articles/10.3389/fmicb.2018.00442/full?report=reader","volume":"9","author":[{"family":"Bird","given":"Alicia K."},{"family":"Prado-Irwin","given":"Sofia R."},{"family":"Vredenburg","given":"Vance T."},{"family":"Zink","given":"Andrew G."}],"accessed":{"date-parts":[["2020",7,21]]},"issued":{"date-parts":[["2018"]]}}},{"id":125,"uris":["http://zotero.org/users/6401767/items/ZGZT8AMH"],"itemData":{"id":125,"type":"article-journal","abstract":"Host-associated microbiotas of vertebrates are diverse and complex communities that contribute to host health. In particular, for amphibians, cutaneous microbial communities likely play a significant role in pathogen defense; however, our ecological understanding of these communities is still in its infancy. Here we take advantage of the fully endemic and locally species-rich amphibian fauna of Madagascar to investigate the factors structuring amphibian skin microbiota on a large scale. Using amplicon-based sequencing, we evaluate how multiple host species traits and site factors affect host bacterial diversity and community structure. Madagascar is home to over 400 native frog species, all of which are endemic to the island; more than 100 different species are known to occur in sympatry within multiple rainforest sites. We intensively sampled frog skin bacterial communities, from over 800 amphibians from 89 species across 30 sites in Madagascar during three field visits, and found that skin bacterial communities differed strongly from those of the surrounding environment. Richness of bacterial operational taxonomic units (OTUs) and phylogenetic diversity differed among host ecomorphs, with arboreal frogs exhibiting lower richness and diversity than terrestrial and aquatic frogs. Host ecomorphology was the strongest factor influencing microbial community structure, with host phylogeny and site parameters (latitude and elevation) explaining less but significant portions of the observed variation. Correlation analysis and topological congruency analyses revealed little to no phylosymbiosis for amphibian skin microbiota. Despite the observed geographic variation and low phylosymbiosis, we found particular OTUs that were differentially abundant between particular ecomorphs. For example, the genus Pigmentiphaga (Alcaligenaceae) was significantly enriched on arboreal frogs, Methylotenera (Methylophilaceae) was enriched on aquatic frogs, and Agrobacterium (Rhizobiaceae) was enriched on terrestrial frogs. The presence of shared bacterial OTUs across geographic regions for selected host genera suggests the presence of core microbial communities which in Madagascar, might be driven more strongly by a species’ preference for specific microhabitats than by the physical, physiological or biochemical properties of their skin. These results corroborate that both host and environmental factors are driving community assembly of amphibian cutaneous microbial communities, and provide an improved foundation for elucidating their role in disease resistance.","container-title":"Frontiers in Microbiology","DOI":"10.3389/fmicb.2017.01530","ISSN":"1664-302X","journalAbbreviation":"Front. Microbiol.","language":"English","note":"publisher: Frontiers","source":"Frontiers","title":"Host Ecology Rather Than Host Phylogeny Drives Amphibian Skin Microbial Community Structure in the Biodiversity Hotspot of Madagascar","URL":"https://www.frontiersin.org/articles/10.3389/fmicb.2017.01530/full","volume":"8","author":[{"family":"Bletz","given":"Molly C."},{"family":"Archer","given":"Holly"},{"family":"Harris","given":"Reid N."},{"family":"McKenzie","given":"Valerie J."},{"family":"Rabemananjara","given":"Falitiana C. E."},{"family":"Rakotoarison","given":"Andolalao"},{"family":"Vences","given":"Miguel"}],"accessed":{"date-parts":[["2020",7,21]]},"issued":{"date-parts":[["2017"]]}}},{"id":123,"uris":["http://zotero.org/users/6401767/items/3SECICVE"],"itemData":{"id":123,"type":"article-journal","abstract":"Microbial symbionts are increasingly recognized as playing a critical role in organismal health across a wide range of hosts. Amphibians are unique hosts in that their skin helps to regulate the exchange of water, ions, and gases, and it plays an active role in defense against pathogens through the synthesis of anti-microbial peptides. The microbiome of amphibian skin includes a diverse community of bacteria known to defend against pathogens, including the global pandemic lineage of Batrachochytrium dendrobatidis associated with mass amphibian die-offs. The relative influence of host phylogeny and environment in determining the composition of the amphibian skin microbiome remains poorly understood. We collected skin swabs from montane amphibians in Mexico and Guatemala, focusing on two genera of plethodontid salamanders and one genus of frogs. We used high throughput sequencing to characterize the skin bacterial microbiome and tested the impact of phylogeny and habitat on bacterial diversity. Our results show that phylogenetic history strongly influences the diversity and community structure of the total bacterial microbiome at higher taxonomic levels (between orders), but on lower scales (within genera and species), the effect of habitat predominates. These results add to a growing consensus that habitat exerts a strong effect on microbiome structure and composition, particularly at shallow phylogenetic scales.","container-title":"Microbial Ecology","DOI":"10.1007/s00248-018-1288-8","ISSN":"1432-184X","issue":"1","journalAbbreviation":"Microb Ecol","language":"en","page":"257-267","source":"Springer Link","title":"The Influence of Habitat and Phylogeny on the Skin Microbiome of Amphibians in Guatemala and Mexico","volume":"78","author":[{"family":"Ellison","given":"Silas"},{"family":"Rovito","given":"Sean"},{"family":"Parra-Olea","given":"Gabriela"},{"family":"Vásquez-Almazán","given":"Carlos"},{"family":"Flechas","given":"Sandra V."},{"family":"Bi","given":"Ke"},{"family":"Vredenburg","given":"Vance T."}],"issued":{"date-parts":[["2019",7,1]]}}},{"id":139,"uris":["http://zotero.org/users/6401767/items/GEXA2DS2"],"itemData":{"id":139,"type":"article-journal","abstract":"Phylosymbiosis, where similarities in host-associated microbial communities recapitulate the phylogeny of their hosts, is a newly recognized yet pervasive pattern in the field of host–microbe interactions. While phylosymbiosis has been documented across many systems, we still have a poor understanding of the mechanisms that underlie this emergent pattern. Host selection of the microbiome is a widely cited mechanism, yet other basic ecological and evolutionary processes (dispersal, drift and diversification) may also be at play. This paper discusses the roles that each of these processes and their interactions may play in yielding phylosymbiotic signals across hosts. Finally, this paper will identify open questions and methods that are required to better understand the relative contributions of these basic processes to phylosymbiosis. Given that phylosymbiosis has been shown to relate to functional components of host fitness, understanding the processes that contribute to these patterns will be important for our understanding of the ecology and evolution of host–microbe interactions.\n            This article is part of the theme issue ‘Conceptual challenges in microbial community ecology’.","container-title":"Philosophical Transactions of the Royal Society B: Biological Sciences","DOI":"10.1098/rstb.2019.0251","ISSN":"0962-8436, 1471-2970","issue":"1798","journalAbbreviation":"Phil. Trans. R. Soc. B","language":"en","page":"20190251","source":"DOI.org (Crossref)","title":"Ecological and evolutionary mechanisms underlying patterns of phylosymbiosis in host-associated microbial communities","volume":"375","author":[{"family":"Kohl","given":"Kevin D."}],"issued":{"date-parts":[["2020",5,11]]}}}],"schema":"https://github.com/citation-style-language/schema/raw/master/csl-citation.json"} </w:instrText>
      </w:r>
      <w:r w:rsidR="00000000">
        <w:rPr>
          <w:rFonts w:ascii="Times New Roman" w:hAnsi="Times New Roman" w:cs="Times New Roman"/>
        </w:rPr>
        <w:fldChar w:fldCharType="separate"/>
      </w:r>
      <w:r w:rsidRPr="002579E0">
        <w:rPr>
          <w:rFonts w:ascii="Times New Roman" w:hAnsi="Times New Roman" w:cs="Times New Roman"/>
        </w:rPr>
        <w:fldChar w:fldCharType="end"/>
      </w:r>
      <w:r w:rsidRPr="002579E0">
        <w:rPr>
          <w:rFonts w:ascii="Times New Roman" w:hAnsi="Times New Roman" w:cs="Times New Roman"/>
        </w:rPr>
        <w:t xml:space="preserve">. </w:t>
      </w:r>
      <w:r w:rsidR="001C6482">
        <w:rPr>
          <w:rFonts w:ascii="Times New Roman" w:hAnsi="Times New Roman" w:cs="Times New Roman"/>
        </w:rPr>
        <w:t xml:space="preserve">However, recent analyses including salamanders in Southern Appalachia suggest some evidence otherwise </w:t>
      </w:r>
      <w:r w:rsidR="001C6482">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{"citationID":"a1olgecvel3","properties":{"formattedCitation":"(A. Hill et al., 2022; Osborne et al., 2024)","plainCitation":"(A. Hill et al., 2022; Osborne et al., 2024)","noteIndex":0},"citationItems":[{"id":"aW8cvW4I/w1jAogck","uris":["http://zotero.org/users/6401767/items/HDDNLET4"],"itemData":{"id":1817,"type":"webpage","abstract":"Phylosymbiosis is an association between host-associated microbiome and host phylogeny. This pattern can arise via evolution of host traits, habitat preferences, diets, and co-diversification of hosts and microbes. Understanding the drivers of phylosymbiosis is vital for modelling disease-microbi...","language":"en","note":"DOI: 10.21203/rs.3.rs-3773072/v1","title":"Phylosymbiosis drives the distribution of pathogen-protective bacteria in Appalachian salamanders","URL":"https://www.researchsquare.com","author":[{"family":"Osborne","given":"Owen"},{"family":"Jiménez","given":"Randall"},{"family":"Byrne","given":"Allison Q."},{"family":"Gratwicke","given":"Brian"},{"family":"Ellison","given":"Amy"},{"family":"Muletz-Wolz","given":"Carly R."}],"accessed":{"date-parts":[["2024",3,10]]},"issued":{"date-parts":[["2024",1,4]]}}},{"id":"aW8cvW4I/FfxlTnY7","uris":["http://zotero.org/users/6401767/items/N349IHJN"],"itemData":{"id":276,"type":"report","abstract":"Abstract\n          Bacterial assemblages on the skins of amphibians are known to affect pathogen resistance and other important physiological functions in the host. Host-specific factors and the environment play significant roles in structuring skin assemblages. This study used high-throughput 16S rRNA sequencing and multivariate analyses to examine differences in skin-bacterial assemblages from 246 salamanders belonging to three genera in the lungless family Plethodontidae along multiple spatial and temporal gradients. Composition and α- and β-diversity of bacterial assemblages were defined, and the relative influences of host- versus environment-specific ecological factors were evaluated. At the broadest spatial scale, host genus and sampling site were both predictive of skin assemblage structure, but host-specific variation was more influential after controlling for the marginal effects of site, as well as nestedness of site. Furthermore, assemblage similarity within each host genus did not change with increasing geographic distance. At the smallest spatial scale, site-specific climate analyses revealed different relationships to climatic variables for each of the three genera, and these relationships were determined by host ecomode. Variation in bacterial assemblages of terrestrial hosts correlated with terrestrial climatic variability, and this pattern decayed with increasing water dependence. Results from this study highlight host-specific considerations for researchers studying wildlife diseases in co-occurring, yet ecologically divergent, species.","genre":"preprint","language":"en","note":"DOI: 10.21203/rs.3.rs-1325435/v1","publisher":"In Review","source":"DOI.org (Crossref)","title":"Bacterial Skin Assemblages of Sympatric Salamanders are Primarily Shaped by Host Genus","URL":"https://www.researchsquare.com/article/rs-1325435/v1","author":[{"family":"Hill","given":"Aubree"},{"family":"Grisnik","given":"Matthew"},{"family":"Walker","given":"Donald M."}],"accessed":{"date-parts":[["2022",6,29]]},"issued":{"date-parts":[["2022",2,17]]}}}],"schema":"https://github.com/citation-style-language/schema/raw/master/csl-citation.json"} </w:instrText>
      </w:r>
      <w:r w:rsidR="001C6482">
        <w:rPr>
          <w:rFonts w:ascii="Times New Roman" w:hAnsi="Times New Roman" w:cs="Times New Roman"/>
        </w:rPr>
        <w:fldChar w:fldCharType="separate"/>
      </w:r>
      <w:r w:rsidR="004D2321">
        <w:rPr>
          <w:rFonts w:ascii="Times New Roman" w:hAnsi="Times New Roman" w:cs="Times New Roman"/>
        </w:rPr>
        <w:t>(A. Hill et al., 2022; Osborne et al., 2024)</w:t>
      </w:r>
      <w:r w:rsidR="001C6482">
        <w:rPr>
          <w:rFonts w:ascii="Times New Roman" w:hAnsi="Times New Roman" w:cs="Times New Roman"/>
        </w:rPr>
        <w:fldChar w:fldCharType="end"/>
      </w:r>
      <w:r w:rsidR="00D23468">
        <w:rPr>
          <w:rFonts w:ascii="Times New Roman" w:hAnsi="Times New Roman" w:cs="Times New Roman"/>
        </w:rPr>
        <w:t>, concluding host species have higher explanatory power than environmental reservoirs.</w:t>
      </w:r>
    </w:p>
    <w:p w14:paraId="35DFC6B7" w14:textId="6D567820"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 xml:space="preserve">Amphibian skin systems are porous, i.e., there is extensive opportunity for the movement of microbes between the skin and the external environment. This leads to a high likelihood that relationships are diffuse, i.e., many microbial species with similar effects on many host species. Mutualism in such diffuse and porous systems may promote specialization or </w:t>
      </w:r>
      <w:proofErr w:type="spellStart"/>
      <w:r w:rsidRPr="002579E0">
        <w:rPr>
          <w:rFonts w:ascii="Times New Roman" w:hAnsi="Times New Roman" w:cs="Times New Roman"/>
        </w:rPr>
        <w:t>generalism</w:t>
      </w:r>
      <w:proofErr w:type="spellEnd"/>
      <w:r w:rsidRPr="002579E0">
        <w:rPr>
          <w:rFonts w:ascii="Times New Roman" w:hAnsi="Times New Roman" w:cs="Times New Roman"/>
        </w:rPr>
        <w:fldChar w:fldCharType="begin"/>
      </w:r>
      <w:r w:rsidR="00AE0227" w:rsidRPr="002579E0">
        <w:rPr>
          <w:rFonts w:ascii="Times New Roman" w:hAnsi="Times New Roman" w:cs="Times New Roman"/>
        </w:rPr>
        <w:instrText xml:space="preserve"> ADDIN ZOTERO_ITEM CSL_CITATION {"citationID":"dz2Wdc86","properties":{"formattedCitation":"(Bascompte &amp; Olesen, 2015; D. H. Janzen, 1980; Waser et al., 1996)","plainCitation":"(Bascompte &amp; Olesen, 2015; D. H. Janzen, 1980; Waser et al., 1996)","dontUpdate":true,"noteIndex":0},"citationItems":[{"id":79,"uris":["http://zotero.org/users/6401767/items/YGMPI99X"],"itemData":{"id":79,"type":"article-journal","container-title":"Oxford University Press","title":"Mutualistic Networks in Mutualism","author":[{"family":"Bascompte","given":"J."},{"family":"Olesen","given":"J. M."}],"issued":{"date-parts":[["2015"]]}}},{"id":78,"uris":["http://zotero.org/users/6401767/items/ZQWF4EGL"],"itemData":{"id":78,"type":"article-journal","container-title":"Evolution","language":"en","page":"611-612","source":"Zotero","title":"WHEN IS I T COEVOLUTION?","volume":"34","author":[{"family":"Janzen","given":"Daniel H."}],"issued":{"date-parts":[["1980"]]}}},{"id":80,"uris":["http://zotero.org/users/6401767/items/9KULFKMF"],"itemData":{"id":80,"type":"article-journal","abstract":"One view of pollination systems is that they tend toward specialization. This view is implicit in many discussions of angiosperm evolution and plant—pollinator coevolution and in the long—standing concept of pollination syndromes. But actual pollination systems often are more generalized and dynamic than these traditions might suggest. To illustrate the range of specialization and generalization in pollinators' use of plants and vice versa, we draw on studies of two floras in the United States, and of members of several plant families and solitary bee genera. We also summarize a recent study of one local flora which suggests that, although the colors of flowers are aggregated in phenotype space, there is no strong association with pollinator types as pollination syndromes would predict. That moderate to substantial generalization often occurs is not surprising on theoretical grounds. Plant generalization is predicted by a simple model as long as temporal and spatial variance in pollinator quality is appreciable, different pollinator species do not fluctuate in unison, and they are similar in their pollination effectiveness. Pollinator generalization is predicted when floral rewards are similar across plant species, travel is costly, constraints of behavior and morphology are minor, and/or pollinator lifespan is long relative to flowering of individual plant species. Recognizing that pollination systems often are generalized has important implications. In ecological predictions of plant reproductive success and population dynamics it is useful to widen the focus beyond flower visitors within the correct' pollination syndrome, and to recognize temporal and spatial fluidity of interactions. Behavioral studies of pollinator foraging choices and information—processing abilities will benefit from understanding the selective advantages of generalization. In studies of floral adaptation, microevolution, and plant speciation one should recognize that selection and gene flow vary in time and space and that the contribution of pollinators to reproductive isolation of plant species may be overstated. In conservation biology, generalized pollination systems imply resilience to linked extinctions, but also the possibility for introduced generalists to displace natives with a net loss of diversity.","container-title":"Ecology","DOI":"10.2307/2265575","ISSN":"1939-9170","issue":"4","language":"en","license":"© 1996 by the Ecological Society of America","note":"_eprint: https://onlinelibrary.wiley.com/doi/pdf/10.2307/2265575","page":"1043-1060","source":"Wiley Online Library","title":"Generalization in Pollination Systems, and Why it Matters","volume":"77","author":[{"family":"Waser","given":"Nikolas M."},{"family":"Chittka","given":"Lars"},{"family":"Price","given":"Mary V."},{"family":"Williams","given":"Neal M."},{"family":"Ollerton","given":"Jeff"}],"issued":{"date-parts":[["1996"]]}}}],"schema":"https://github.com/citation-style-language/schema/raw/master/csl-citation.json"} </w:instrText>
      </w:r>
      <w:r w:rsidR="00000000">
        <w:rPr>
          <w:rFonts w:ascii="Times New Roman" w:hAnsi="Times New Roman" w:cs="Times New Roman"/>
        </w:rPr>
        <w:fldChar w:fldCharType="separate"/>
      </w:r>
      <w:r w:rsidRPr="002579E0">
        <w:rPr>
          <w:rFonts w:ascii="Times New Roman" w:hAnsi="Times New Roman" w:cs="Times New Roman"/>
        </w:rPr>
        <w:fldChar w:fldCharType="end"/>
      </w:r>
      <w:r w:rsidRPr="002579E0">
        <w:rPr>
          <w:rFonts w:ascii="Times New Roman" w:hAnsi="Times New Roman" w:cs="Times New Roman"/>
        </w:rPr>
        <w:t xml:space="preserve">. </w:t>
      </w:r>
      <w:proofErr w:type="spellStart"/>
      <w:r w:rsidRPr="002579E0">
        <w:rPr>
          <w:rFonts w:ascii="Times New Roman" w:hAnsi="Times New Roman" w:cs="Times New Roman"/>
        </w:rPr>
        <w:t>Generalism</w:t>
      </w:r>
      <w:proofErr w:type="spellEnd"/>
      <w:r w:rsidRPr="002579E0">
        <w:rPr>
          <w:rFonts w:ascii="Times New Roman" w:hAnsi="Times New Roman" w:cs="Times New Roman"/>
        </w:rPr>
        <w:t xml:space="preserve"> is expected to result in community convergence, where different host species harbor similar assemblages of microbes that are non-random (filtered) draws from the environmental pool. Specialization is expected to result in distinctive microbial assemblages associated with each host species. Here, we attempt to evaluate convergence vs. differentiation by comparing microbial samples from the skin of several co-occurring salamander species across a terrestrial-aquatic interface.</w:t>
      </w:r>
    </w:p>
    <w:p w14:paraId="2E04EAB7" w14:textId="50632D21" w:rsidR="00895912" w:rsidRPr="002579E0" w:rsidRDefault="00895912" w:rsidP="002E370B">
      <w:pPr>
        <w:spacing w:line="360" w:lineRule="auto"/>
        <w:rPr>
          <w:rFonts w:ascii="Times New Roman" w:hAnsi="Times New Roman" w:cs="Times New Roman"/>
        </w:rPr>
      </w:pPr>
      <w:r w:rsidRPr="002579E0">
        <w:rPr>
          <w:rFonts w:ascii="Times New Roman" w:hAnsi="Times New Roman" w:cs="Times New Roman"/>
        </w:rPr>
        <w:tab/>
        <w:t xml:space="preserve">The Southern Appalachians are a biodiversity hotspot for salamanders in the family </w:t>
      </w:r>
      <w:proofErr w:type="spellStart"/>
      <w:r w:rsidRPr="002579E0">
        <w:rPr>
          <w:rFonts w:ascii="Times New Roman" w:hAnsi="Times New Roman" w:cs="Times New Roman"/>
        </w:rPr>
        <w:t>Plethodontidae</w:t>
      </w:r>
      <w:proofErr w:type="spellEnd"/>
      <w:r w:rsidRPr="002579E0">
        <w:rPr>
          <w:rFonts w:ascii="Times New Roman" w:hAnsi="Times New Roman" w:cs="Times New Roman"/>
        </w:rPr>
        <w:t xml:space="preserve">, making it an ideal region to study the effects of habitat and host species on the cutaneous microbiome. In this study, we sought to quantify differences in microbial communities of five salamander species spanning three genera within Great Smoky Mountain National Park. Our goal was to test the relative importance habitat (terrestrial vs. aquatic), microhabitat (cover </w:t>
      </w:r>
      <w:r w:rsidRPr="002579E0">
        <w:rPr>
          <w:rFonts w:ascii="Times New Roman" w:hAnsi="Times New Roman" w:cs="Times New Roman"/>
        </w:rPr>
        <w:lastRenderedPageBreak/>
        <w:t>objects), and host species in the formulation of the skin microbiome. Three of the sampled species (</w:t>
      </w:r>
      <w:proofErr w:type="spellStart"/>
      <w:r w:rsidRPr="002579E0">
        <w:rPr>
          <w:rFonts w:ascii="Times New Roman" w:hAnsi="Times New Roman" w:cs="Times New Roman"/>
          <w:i/>
          <w:iCs/>
        </w:rPr>
        <w:t>Desmognathus</w:t>
      </w:r>
      <w:proofErr w:type="spellEnd"/>
      <w:r w:rsidRPr="002579E0">
        <w:rPr>
          <w:rFonts w:ascii="Times New Roman" w:hAnsi="Times New Roman" w:cs="Times New Roman"/>
          <w:i/>
          <w:iCs/>
        </w:rPr>
        <w:t xml:space="preserve"> </w:t>
      </w:r>
      <w:proofErr w:type="spellStart"/>
      <w:r w:rsidRPr="002579E0">
        <w:rPr>
          <w:rFonts w:ascii="Times New Roman" w:hAnsi="Times New Roman" w:cs="Times New Roman"/>
          <w:i/>
          <w:iCs/>
        </w:rPr>
        <w:t>gvnigeusgwotli</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i/>
          <w:iCs/>
        </w:rPr>
        <w:t>Desmognathus</w:t>
      </w:r>
      <w:proofErr w:type="spellEnd"/>
      <w:r w:rsidRPr="002579E0">
        <w:rPr>
          <w:rFonts w:ascii="Times New Roman" w:hAnsi="Times New Roman" w:cs="Times New Roman"/>
          <w:i/>
          <w:iCs/>
        </w:rPr>
        <w:t xml:space="preserve"> </w:t>
      </w:r>
      <w:proofErr w:type="spellStart"/>
      <w:r w:rsidRPr="002579E0">
        <w:rPr>
          <w:rFonts w:ascii="Times New Roman" w:hAnsi="Times New Roman" w:cs="Times New Roman"/>
          <w:i/>
          <w:iCs/>
        </w:rPr>
        <w:t>monticola</w:t>
      </w:r>
      <w:proofErr w:type="spellEnd"/>
      <w:r w:rsidRPr="002579E0">
        <w:rPr>
          <w:rFonts w:ascii="Times New Roman" w:hAnsi="Times New Roman" w:cs="Times New Roman"/>
        </w:rPr>
        <w:t xml:space="preserve">, and </w:t>
      </w:r>
      <w:proofErr w:type="spellStart"/>
      <w:r w:rsidRPr="002579E0">
        <w:rPr>
          <w:rFonts w:ascii="Times New Roman" w:hAnsi="Times New Roman" w:cs="Times New Roman"/>
          <w:i/>
          <w:iCs/>
        </w:rPr>
        <w:t>Desmognathus</w:t>
      </w:r>
      <w:proofErr w:type="spellEnd"/>
      <w:r w:rsidRPr="002579E0">
        <w:rPr>
          <w:rFonts w:ascii="Times New Roman" w:hAnsi="Times New Roman" w:cs="Times New Roman"/>
          <w:i/>
          <w:iCs/>
        </w:rPr>
        <w:t xml:space="preserve"> </w:t>
      </w:r>
      <w:proofErr w:type="spellStart"/>
      <w:r w:rsidRPr="002579E0">
        <w:rPr>
          <w:rFonts w:ascii="Times New Roman" w:hAnsi="Times New Roman" w:cs="Times New Roman"/>
          <w:i/>
          <w:iCs/>
        </w:rPr>
        <w:t>conanti</w:t>
      </w:r>
      <w:proofErr w:type="spellEnd"/>
      <w:r w:rsidRPr="002579E0">
        <w:rPr>
          <w:rFonts w:ascii="Times New Roman" w:hAnsi="Times New Roman" w:cs="Times New Roman"/>
        </w:rPr>
        <w:t>), occupy different positions along an aquatic to semi-aquatic gradient, while the other two species (</w:t>
      </w:r>
      <w:proofErr w:type="spellStart"/>
      <w:r w:rsidRPr="002579E0">
        <w:rPr>
          <w:rFonts w:ascii="Times New Roman" w:hAnsi="Times New Roman" w:cs="Times New Roman"/>
          <w:i/>
          <w:iCs/>
        </w:rPr>
        <w:t>Plethodon</w:t>
      </w:r>
      <w:proofErr w:type="spellEnd"/>
      <w:r w:rsidRPr="002579E0">
        <w:rPr>
          <w:rFonts w:ascii="Times New Roman" w:hAnsi="Times New Roman" w:cs="Times New Roman"/>
          <w:i/>
          <w:iCs/>
        </w:rPr>
        <w:t xml:space="preserve"> </w:t>
      </w:r>
      <w:proofErr w:type="spellStart"/>
      <w:r w:rsidRPr="002579E0">
        <w:rPr>
          <w:rFonts w:ascii="Times New Roman" w:hAnsi="Times New Roman" w:cs="Times New Roman"/>
          <w:i/>
          <w:iCs/>
        </w:rPr>
        <w:t>teyahalee</w:t>
      </w:r>
      <w:proofErr w:type="spellEnd"/>
      <w:r w:rsidRPr="002579E0">
        <w:rPr>
          <w:rFonts w:ascii="Times New Roman" w:hAnsi="Times New Roman" w:cs="Times New Roman"/>
        </w:rPr>
        <w:t xml:space="preserve"> and </w:t>
      </w:r>
      <w:r w:rsidRPr="002579E0">
        <w:rPr>
          <w:rFonts w:ascii="Times New Roman" w:hAnsi="Times New Roman" w:cs="Times New Roman"/>
          <w:i/>
          <w:iCs/>
        </w:rPr>
        <w:t xml:space="preserve">Eurycea </w:t>
      </w:r>
      <w:r w:rsidR="00CB244F" w:rsidRPr="00CB244F">
        <w:rPr>
          <w:rFonts w:ascii="Times New Roman" w:hAnsi="Times New Roman" w:cs="Times New Roman"/>
        </w:rPr>
        <w:t>cf.</w:t>
      </w:r>
      <w:r w:rsidR="00CB244F">
        <w:rPr>
          <w:rFonts w:ascii="Times New Roman" w:hAnsi="Times New Roman" w:cs="Times New Roman"/>
          <w:i/>
          <w:iCs/>
        </w:rPr>
        <w:t xml:space="preserve"> </w:t>
      </w:r>
      <w:proofErr w:type="spellStart"/>
      <w:r w:rsidRPr="002579E0">
        <w:rPr>
          <w:rFonts w:ascii="Times New Roman" w:hAnsi="Times New Roman" w:cs="Times New Roman"/>
          <w:i/>
          <w:iCs/>
        </w:rPr>
        <w:t>wilderae</w:t>
      </w:r>
      <w:proofErr w:type="spellEnd"/>
      <w:r w:rsidRPr="002579E0">
        <w:rPr>
          <w:rFonts w:ascii="Times New Roman" w:hAnsi="Times New Roman" w:cs="Times New Roman"/>
        </w:rPr>
        <w:t xml:space="preserve">) occupy neighboring terrestrial habitats in the summer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{"citationID":"unp7L2SW","properties":{"formattedCitation":"(Petranka, 2010)","plainCitation":"(Petranka, 2010)","noteIndex":0},"citationItems":[{"id":476,"uris":["http://zotero.org/users/6401767/items/WF7XKEMM"],"itemData":{"id":476,"type":"book","abstract":"Secretive, nocturnal, and little known, salamanders are often the most abundant vertebrates on the forest floor. This comprehensive volume, the first survey published since 1943, describes the ecology, evolution, biodiversity, behavior, and natural history of 127 recognized species of salamanders found in the United States and Canada, from newts and sirens to waterdogs and hellbenders. Drawing on more than 2,100 research publications, the book includes detailed life history accounts, nearly 500 color and black-and-white photographs, identification keys for larvae as well as adults, and up-to-date distribution maps.James W. Petranka presents a wealth of information on each species: identification, systematics, courtship and breeding, diet and predation, and the ecology of larval and adult stages are all described. He summarizes major patterns of geographic variation within species to emphasize differences between local and regional populations and to provide a realistic view of intraspecific life history diversity.With its comprehensive coverage and extensive references, this volume is an indispensable guide not only for herpetologists but also for teachers, naturalists, conservation biologists, environmental planners, and anyone who needs detailed information on the diverse salamander fauna of the United States and Canada.","edition":"Illustrated edition","event-place":"Washington, DC","ISBN":"978-1-58834-308-6","language":"English","number-of-pages":"592","publisher":"Smithsonian Books","publisher-place":"Washington, DC","source":"Amazon","title":"Salamanders of the United States and Canada","author":[{"family":"Petranka","given":"James W."}],"issued":{"date-parts":[["2010",9,14]]}}}],"schema":"https://github.com/citation-style-language/schema/raw/master/csl-citation.json"}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(Petranka, 2010)</w:t>
      </w:r>
      <w:r w:rsidRPr="002579E0">
        <w:rPr>
          <w:rFonts w:ascii="Times New Roman" w:hAnsi="Times New Roman" w:cs="Times New Roman"/>
        </w:rPr>
        <w:fldChar w:fldCharType="end"/>
      </w:r>
      <w:r w:rsidRPr="002579E0">
        <w:rPr>
          <w:rFonts w:ascii="Times New Roman" w:hAnsi="Times New Roman" w:cs="Times New Roman"/>
        </w:rPr>
        <w:t>.</w:t>
      </w:r>
    </w:p>
    <w:p w14:paraId="2C41BC04" w14:textId="3999AFCD" w:rsidR="009F0C02" w:rsidRPr="002579E0" w:rsidRDefault="009F0C02" w:rsidP="009F0C02">
      <w:pPr>
        <w:pStyle w:val="Heading2"/>
        <w:rPr>
          <w:rFonts w:ascii="Times New Roman" w:hAnsi="Times New Roman" w:cs="Times New Roman"/>
        </w:rPr>
      </w:pPr>
      <w:bookmarkStart w:id="14" w:name="_Toc165028049"/>
      <w:r w:rsidRPr="002579E0">
        <w:rPr>
          <w:rFonts w:ascii="Times New Roman" w:hAnsi="Times New Roman" w:cs="Times New Roman"/>
        </w:rPr>
        <w:t>Materials and Methods</w:t>
      </w:r>
      <w:bookmarkEnd w:id="14"/>
    </w:p>
    <w:p w14:paraId="3B3C1B18" w14:textId="3B840512" w:rsidR="00895912" w:rsidRPr="00491D83" w:rsidRDefault="009F0C02" w:rsidP="004B6806">
      <w:pPr>
        <w:pStyle w:val="Heading3"/>
        <w:spacing w:line="360" w:lineRule="auto"/>
        <w:rPr>
          <w:rFonts w:ascii="Times New Roman" w:hAnsi="Times New Roman" w:cs="Times New Roman"/>
          <w:b w:val="0"/>
          <w:bCs w:val="0"/>
          <w:szCs w:val="24"/>
        </w:rPr>
      </w:pPr>
      <w:bookmarkStart w:id="15" w:name="_Toc165028050"/>
      <w:r w:rsidRPr="00491D83">
        <w:rPr>
          <w:rFonts w:ascii="Times New Roman" w:hAnsi="Times New Roman" w:cs="Times New Roman"/>
          <w:b w:val="0"/>
          <w:bCs w:val="0"/>
          <w:szCs w:val="24"/>
        </w:rPr>
        <w:t xml:space="preserve">Field </w:t>
      </w:r>
      <w:r w:rsidR="008A6662" w:rsidRPr="00491D83">
        <w:rPr>
          <w:rFonts w:ascii="Times New Roman" w:hAnsi="Times New Roman" w:cs="Times New Roman"/>
          <w:b w:val="0"/>
          <w:bCs w:val="0"/>
          <w:szCs w:val="24"/>
        </w:rPr>
        <w:t>s</w:t>
      </w:r>
      <w:r w:rsidRPr="00491D83">
        <w:rPr>
          <w:rFonts w:ascii="Times New Roman" w:hAnsi="Times New Roman" w:cs="Times New Roman"/>
          <w:b w:val="0"/>
          <w:bCs w:val="0"/>
          <w:szCs w:val="24"/>
        </w:rPr>
        <w:t>ampling</w:t>
      </w:r>
      <w:bookmarkEnd w:id="15"/>
    </w:p>
    <w:p w14:paraId="27CF13B3" w14:textId="3E0C9237" w:rsidR="00895912" w:rsidRPr="002579E0" w:rsidRDefault="00895912" w:rsidP="004B6806">
      <w:pPr>
        <w:spacing w:line="360" w:lineRule="auto"/>
        <w:rPr>
          <w:rFonts w:ascii="Times New Roman" w:hAnsi="Times New Roman" w:cs="Times New Roman"/>
        </w:rPr>
      </w:pPr>
      <w:r w:rsidRPr="002579E0">
        <w:rPr>
          <w:rFonts w:ascii="Times New Roman" w:hAnsi="Times New Roman" w:cs="Times New Roman"/>
        </w:rPr>
        <w:tab/>
        <w:t xml:space="preserve">We sampled plots across three sites within Great Smoky Mountain National Park (GSMNP). All sites were low-order streams under 800m in elevation. Upon arriving at each site, a 10mx10m plot was set up evenly encompassing aquatic and terrestrial habitats. Up to ten salamanders of each species were captured with a gloved hand or net. Only salamanders with a snout-vent length (SVL) over 25mm were collected for swabbing due to difficulty in consistently swabbing organisms below this size class. Upon capture, salamanders were placed in a new Ziploc bag and transported to a central location for swabbing. At each salamander capture location, a flag was dropped to ensure organisms were returned to the exact location. Prior to swabbing, salamanders were rinsed with 50ml of sterile spring water to remove transient bacteria not considered part of the host microbiome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{"citationID":"onT1zc1A","properties":{"formattedCitation":"(Lauer et al., 2007; Walker &amp; Lawrence, 2015)","plainCitation":"(Lauer et al., 2007; Walker &amp; Lawrence, 2015)","noteIndex":0},"citationItems":[{"id":194,"uris":["http://zotero.org/users/6401767/items/5ZQGVCTV"],"itemData":{"id":194,"type":"article-journal","container-title":"Copeia","DOI":"10.1643/0045-8511(2007)2007[630:CCBFTE]2.0.CO;2","ISSN":"0045-8511, 1938-5110","issue":"3","journalAbbreviation":"Copeia","language":"en","page":"630-640","source":"DOI.org (Crossref)","title":"Common Cutaneous Bacteria from the Eastern Red-Backed Salamander Can Inhibit Pathogenic Fungi","volume":"2007","author":[{"family":"Lauer","given":"Antje"},{"family":"Simon","given":"Mary Alice"},{"family":"Banning","given":"Jenifer L."},{"family":"André","given":"Emily"},{"family":"Duncan","given":"Karen"},{"family":"Harris","given":"Reid N."}],"issued":{"date-parts":[["2007",9,10]]}}},{"id":193,"uris":["http://zotero.org/users/6401767/items/QBMPI7A6"],"itemData":{"id":193,"type":"article-journal","container-title":"Herpetological Review","issue":"3","language":"en","page":"349–353","source":"Zotero","title":"A Novel Protocol for Washing Environmental Microbes from Amphibian Skin","volume":"46","author":[{"family":"Walker","given":"Donald M"},{"family":"Lawrence","given":"Brandy R"}],"issued":{"date-parts":[["2015"]]}}}],"schema":"https://github.com/citation-style-language/schema/raw/master/csl-citation.json"}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(Lauer et al., 2007; Walker &amp; Lawrence, 2015)</w:t>
      </w:r>
      <w:r w:rsidRPr="002579E0">
        <w:rPr>
          <w:rFonts w:ascii="Times New Roman" w:hAnsi="Times New Roman" w:cs="Times New Roman"/>
        </w:rPr>
        <w:fldChar w:fldCharType="end"/>
      </w:r>
      <w:r w:rsidRPr="002579E0">
        <w:rPr>
          <w:rFonts w:ascii="Times New Roman" w:hAnsi="Times New Roman" w:cs="Times New Roman"/>
        </w:rPr>
        <w:t>. After rinsing, salamanders were placed in a new Ziploc bag and swabbed 30 times (10 times on the dorsum, 10 times on the venter, and five times on each lateral side) with a sterile MW-113 Rayon-tipped swab (Medical Wire and Equipment, UK). Gloves were changed between the handling of each salamander. Swabs were stored in either 1.5ml or 2.0ml sterile centrifuge tubes and placed on dry ice. A swab of the cover object under which the salamander was found was also taken and stored in the same manner. At the end of each site, salamanders were released where collected. Swabs were stored at -80°C until extraction. For all sites, we had at least five biological replicates of at least three species occurring in aquatic or terrestrial habitats.</w:t>
      </w:r>
    </w:p>
    <w:p w14:paraId="26EB54CE" w14:textId="2516174F" w:rsidR="00895912" w:rsidRPr="00491D83" w:rsidRDefault="009F0C02" w:rsidP="004B6806">
      <w:pPr>
        <w:pStyle w:val="Heading3"/>
        <w:spacing w:line="360" w:lineRule="auto"/>
        <w:rPr>
          <w:rFonts w:ascii="Times New Roman" w:hAnsi="Times New Roman" w:cs="Times New Roman"/>
          <w:b w:val="0"/>
          <w:bCs w:val="0"/>
          <w:szCs w:val="24"/>
        </w:rPr>
      </w:pPr>
      <w:bookmarkStart w:id="16" w:name="_Toc165028051"/>
      <w:r w:rsidRPr="00491D83">
        <w:rPr>
          <w:rFonts w:ascii="Times New Roman" w:hAnsi="Times New Roman" w:cs="Times New Roman"/>
          <w:b w:val="0"/>
          <w:bCs w:val="0"/>
          <w:szCs w:val="24"/>
        </w:rPr>
        <w:t xml:space="preserve">16S </w:t>
      </w:r>
      <w:r w:rsidR="008A6662" w:rsidRPr="00491D83">
        <w:rPr>
          <w:rFonts w:ascii="Times New Roman" w:hAnsi="Times New Roman" w:cs="Times New Roman"/>
          <w:b w:val="0"/>
          <w:bCs w:val="0"/>
          <w:szCs w:val="24"/>
        </w:rPr>
        <w:t>l</w:t>
      </w:r>
      <w:r w:rsidRPr="00491D83">
        <w:rPr>
          <w:rFonts w:ascii="Times New Roman" w:hAnsi="Times New Roman" w:cs="Times New Roman"/>
          <w:b w:val="0"/>
          <w:bCs w:val="0"/>
          <w:szCs w:val="24"/>
        </w:rPr>
        <w:t xml:space="preserve">ibrary </w:t>
      </w:r>
      <w:r w:rsidR="008A6662" w:rsidRPr="00491D83">
        <w:rPr>
          <w:rFonts w:ascii="Times New Roman" w:hAnsi="Times New Roman" w:cs="Times New Roman"/>
          <w:b w:val="0"/>
          <w:bCs w:val="0"/>
          <w:szCs w:val="24"/>
        </w:rPr>
        <w:t>p</w:t>
      </w:r>
      <w:r w:rsidRPr="00491D83">
        <w:rPr>
          <w:rFonts w:ascii="Times New Roman" w:hAnsi="Times New Roman" w:cs="Times New Roman"/>
          <w:b w:val="0"/>
          <w:bCs w:val="0"/>
          <w:szCs w:val="24"/>
        </w:rPr>
        <w:t>reparation</w:t>
      </w:r>
      <w:bookmarkEnd w:id="16"/>
    </w:p>
    <w:p w14:paraId="66D4ABE1" w14:textId="1BE6E446" w:rsidR="00895912" w:rsidRPr="002579E0" w:rsidRDefault="00895912" w:rsidP="004B6806">
      <w:pPr>
        <w:spacing w:line="360" w:lineRule="auto"/>
        <w:rPr>
          <w:rFonts w:ascii="Times New Roman" w:hAnsi="Times New Roman" w:cs="Times New Roman"/>
        </w:rPr>
      </w:pPr>
      <w:r w:rsidRPr="002579E0">
        <w:rPr>
          <w:rFonts w:ascii="Times New Roman" w:hAnsi="Times New Roman" w:cs="Times New Roman"/>
        </w:rPr>
        <w:tab/>
        <w:t xml:space="preserve">DNA was extracted from the swabs using </w:t>
      </w:r>
      <w:proofErr w:type="spellStart"/>
      <w:r w:rsidRPr="002579E0">
        <w:rPr>
          <w:rFonts w:ascii="Times New Roman" w:hAnsi="Times New Roman" w:cs="Times New Roman"/>
        </w:rPr>
        <w:t>DNEasy</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PowerSoil</w:t>
      </w:r>
      <w:proofErr w:type="spellEnd"/>
      <w:r w:rsidRPr="002579E0">
        <w:rPr>
          <w:rFonts w:ascii="Times New Roman" w:hAnsi="Times New Roman" w:cs="Times New Roman"/>
        </w:rPr>
        <w:t xml:space="preserve"> Pro Kit (Qiagen), following the manufacturer’s protocol, with the addition of a five-minute incubation in solution </w:t>
      </w:r>
      <w:r w:rsidRPr="002579E0">
        <w:rPr>
          <w:rFonts w:ascii="Times New Roman" w:hAnsi="Times New Roman" w:cs="Times New Roman"/>
        </w:rPr>
        <w:lastRenderedPageBreak/>
        <w:t xml:space="preserve">C6 prior to the final spin column elution. The V3-V4 region of the 16S Ribosomal RNA gene was amplified with 341F-785R primers in triplicate. Polymerase chain reactions (PCR) reactions consisted of 6.25µl of KAPA HiFi </w:t>
      </w:r>
      <w:proofErr w:type="spellStart"/>
      <w:r w:rsidRPr="002579E0">
        <w:rPr>
          <w:rFonts w:ascii="Times New Roman" w:hAnsi="Times New Roman" w:cs="Times New Roman"/>
        </w:rPr>
        <w:t>HotStart</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ReadyMix</w:t>
      </w:r>
      <w:proofErr w:type="spellEnd"/>
      <w:r w:rsidRPr="002579E0">
        <w:rPr>
          <w:rFonts w:ascii="Times New Roman" w:hAnsi="Times New Roman" w:cs="Times New Roman"/>
        </w:rPr>
        <w:t xml:space="preserve">, 2.5µl of forward primer, 2.5µl of reverse primer, and 2.5µl of template DNA. Cycles for PCR were as follows: 95 °C for 3 minutes, followed by 35 cycles of 95 °C (30s), 55 °C (30s), and 72 °C (30s), followed by a five-minute elongation step at 72 °C. Amplification was verified on a 1% agarose gel. Amplified triplicates were pooled and cleaned using </w:t>
      </w:r>
      <w:proofErr w:type="spellStart"/>
      <w:r w:rsidRPr="002579E0">
        <w:rPr>
          <w:rFonts w:ascii="Times New Roman" w:hAnsi="Times New Roman" w:cs="Times New Roman"/>
        </w:rPr>
        <w:t>AMPure</w:t>
      </w:r>
      <w:proofErr w:type="spellEnd"/>
      <w:r w:rsidRPr="002579E0">
        <w:rPr>
          <w:rFonts w:ascii="Times New Roman" w:hAnsi="Times New Roman" w:cs="Times New Roman"/>
        </w:rPr>
        <w:t xml:space="preserve"> beads (Beckman Coulter) and Nexterra XT sequencing primers containing distinct barcodes were added during a second PCR with following the same conditions, only with eight cycles. Purified products were quantified via nanodrop, pooled to equimolar concentrations, and sequenced PE 2x275 using a V3 600 flow cell on an Illumina </w:t>
      </w:r>
      <w:proofErr w:type="spellStart"/>
      <w:r w:rsidRPr="002579E0">
        <w:rPr>
          <w:rFonts w:ascii="Times New Roman" w:hAnsi="Times New Roman" w:cs="Times New Roman"/>
        </w:rPr>
        <w:t>Miseq</w:t>
      </w:r>
      <w:proofErr w:type="spellEnd"/>
      <w:r w:rsidRPr="002579E0">
        <w:rPr>
          <w:rFonts w:ascii="Times New Roman" w:hAnsi="Times New Roman" w:cs="Times New Roman"/>
        </w:rPr>
        <w:t xml:space="preserve"> with a 20% </w:t>
      </w:r>
      <w:proofErr w:type="spellStart"/>
      <w:r w:rsidRPr="002579E0">
        <w:rPr>
          <w:rFonts w:ascii="Times New Roman" w:hAnsi="Times New Roman" w:cs="Times New Roman"/>
        </w:rPr>
        <w:t>PhiX</w:t>
      </w:r>
      <w:proofErr w:type="spellEnd"/>
      <w:r w:rsidRPr="002579E0">
        <w:rPr>
          <w:rFonts w:ascii="Times New Roman" w:hAnsi="Times New Roman" w:cs="Times New Roman"/>
        </w:rPr>
        <w:t xml:space="preserve"> spike at the University of Tennessee Genomics Core. </w:t>
      </w:r>
    </w:p>
    <w:p w14:paraId="3C9E4378" w14:textId="1BD97EBA" w:rsidR="00895912" w:rsidRPr="00491D83" w:rsidRDefault="009F0C02" w:rsidP="004B6806">
      <w:pPr>
        <w:pStyle w:val="Heading3"/>
        <w:spacing w:line="360" w:lineRule="auto"/>
        <w:rPr>
          <w:rFonts w:ascii="Times New Roman" w:hAnsi="Times New Roman" w:cs="Times New Roman"/>
          <w:b w:val="0"/>
          <w:bCs w:val="0"/>
          <w:szCs w:val="24"/>
        </w:rPr>
      </w:pPr>
      <w:bookmarkStart w:id="17" w:name="_Toc165028052"/>
      <w:r w:rsidRPr="00491D83">
        <w:rPr>
          <w:rFonts w:ascii="Times New Roman" w:hAnsi="Times New Roman" w:cs="Times New Roman"/>
          <w:b w:val="0"/>
          <w:bCs w:val="0"/>
          <w:szCs w:val="24"/>
        </w:rPr>
        <w:t>Bioinformatics</w:t>
      </w:r>
      <w:bookmarkEnd w:id="17"/>
    </w:p>
    <w:p w14:paraId="5180333B" w14:textId="675E6313" w:rsidR="007754C0" w:rsidRPr="002579E0" w:rsidRDefault="00895912" w:rsidP="007754C0">
      <w:pPr>
        <w:spacing w:line="360" w:lineRule="auto"/>
        <w:ind w:firstLine="720"/>
        <w:rPr>
          <w:rFonts w:ascii="Times New Roman" w:hAnsi="Times New Roman" w:cs="Times New Roman"/>
        </w:rPr>
      </w:pPr>
      <w:r w:rsidRPr="002579E0">
        <w:rPr>
          <w:rFonts w:ascii="Times New Roman" w:hAnsi="Times New Roman" w:cs="Times New Roman"/>
        </w:rPr>
        <w:t xml:space="preserve">Following sequencing, primers were removed from demultiplexed samples using </w:t>
      </w:r>
      <w:proofErr w:type="spellStart"/>
      <w:r w:rsidRPr="002579E0">
        <w:rPr>
          <w:rFonts w:ascii="Times New Roman" w:hAnsi="Times New Roman" w:cs="Times New Roman"/>
        </w:rPr>
        <w:t>Cutadapt</w:t>
      </w:r>
      <w:proofErr w:type="spellEnd"/>
      <w:r w:rsidRPr="002579E0">
        <w:rPr>
          <w:rFonts w:ascii="Times New Roman" w:hAnsi="Times New Roman" w:cs="Times New Roman"/>
        </w:rPr>
        <w:t xml:space="preserve"> and samples entered the DADA2 pipeline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{"citationID":"6xh3DNgj","properties":{"formattedCitation":"(Bolyen et al., 2018; Callahan et al., 2016; Martin, 2011)","plainCitation":"(Bolyen et al., 2018; Callahan et al., 2016; Martin, 2011)","noteIndex":0},"citationItems":[{"id":328,"uris":["http://zotero.org/users/6401767/items/TXT3PPSM"],"itemData":{"id":328,"type":"report","abstract":"We present QIIME 2, an open-source microbiome data science platform accessible to users spanning the microbiome research ecosystem, from scientists and engineers to clinicians and policy makers. QIIME 2 provides new features that will drive the next generation of microbiome research. These include interactive spatial and temporal analysis and visualization tools, support for metabolomics and shotgun metagenomics analysis, and automated data provenance tracking to ensure reproducible, transparent microbiome data science.","language":"en","note":"ISSN: 2167-9843\nDOI: 10.7287/peerj.preprints.27295v2","number":"e27295v2","publisher":"PeerJ Inc.","source":"peerj.com","title":"QIIME 2: Reproducible, interactive, scalable, and extensible microbiome data science","title-short":"QIIME 2","URL":"https://peerj.com/preprints/27295","author":[{"family":"Bolyen","given":"Evan"},{"family":"Rideout","given":"Jai Ram"},{"family":"Dillon","given":"Matthew R."},{"family":"Bokulich","given":"Nicholas A."},{"family":"Abnet","given":"Christian"},{"family":"Al-Ghalith","given":"Gabriel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Mauricio"},{"family":"Chase","given":"John"},{"family":"Cope","given":"Emily"},{"family":"Silva","given":"Ricardo Da"},{"family":"Dorrestein","given":"Pieter C."},{"family":"Douglas","given":"Gavin M."},{"family":"Durall","given":"Daniel M."},{"family":"Duvallet","given":"Claire"},{"family":"Edwardson","given":"Christian F."},{"family":"Ernst","given":"Madeleine"},{"family":"Estaki","given":"Mehrbod"},{"family":"Fouquier","given":"Jennifer"},{"family":"Gauglitz","given":"Julia M."},{"family":"Gibson","given":"Deanna L."},{"family":"Gonzalez","given":"Antonio"},{"family":"Gorlick","given":"Kestrel"},{"family":"Guo","given":"Jiarong"},{"family":"Hillmann","given":"Benjamin"},{"family":"Holmes","given":"Susan"},{"family":"Holste","given":"Hannes"},{"family":"Huttenhower","given":"Curtis"},{"family":"Huttley","given":"Gavin"},{"family":"Janssen","given":"Stefan"},{"family":"Jarmusch","given":"Alan K."},{"family":"Jiang","given":"Lingjing"},{"family":"Kaehler","given":"Benjamin"},{"family":"Kang","given":"Kyo Bin"},{"family":"Keefe","given":"Christopher R."},{"family":"Keim","given":"Paul"},{"family":"Kelley","given":"Scott T."},{"family":"Knights","given":"Dan"},{"family":"Koester","given":"Irina"},{"family":"Kosciolek","given":"Tomasz"},{"family":"Kreps","given":"Jorden"},{"family":"Langille","given":"Morgan G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Buur"},{"family":"Rivers","given":"Adam"},{"family":"Michael S Robeson","given":"I. I."},{"family":"Rosenthal","given":"Patrick"},{"family":"Segata","given":"Nicola"},{"family":"Shaffer","given":"Michael"},{"family":"Shiffer","given":"Arron"},{"family":"Sinha","given":"Rashmi"},{"family":"Song","given":"Se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J."},{"family":"Ul-Hasan","given":"Sabah"},{"family":"Hooft","given":"Justin JJ","dropping-particle":"van der"},{"family":"Vargas","given":"Fernando"},{"family":"Vázquez-Baeza","given":"Yoshiki"},{"family":"Vogtmann","given":"Emily"},{"family":"Hippel","given":"Max","dropping-particle":"von"},{"family":"Walters","given":"William"},{"family":"Wan","given":"Yunhu"},{"family":"Wang","given":"Mingxun"},{"family":"Warren","given":"Jonathan"},{"family":"Weber","given":"Kyle C."},{"family":"Williamson","given":"Chase HD"},{"family":"Willis","given":"Amy D."},{"family":"Xu","given":"Zhenjiang Zech"},{"family":"Zaneveld","given":"Jesse R."},{"family":"Zhang","given":"Yilong"},{"family":"Zhu","given":"Qiyun"},{"family":"Knight","given":"Rob"},{"family":"Caporaso","given":"J. Gregory"}],"accessed":{"date-parts":[["2021",6,29]]},"issued":{"date-parts":[["2018",12,3]]}}},{"id":241,"uris":["http://zotero.org/users/6401767/items/UETS3LSW"],"itemData":{"id":241,"type":"article-journal","abstract":"DADA2 is an open-source software package that denoises and removes sequencing errors from Illumina amplicon sequence data to distinguish microbial sample sequences differing by as little as a single nucleotide.","container-title":"Nature Methods","DOI":"10.1038/nmeth.3869","ISSN":"1548-7105","issue":"7","language":"en","license":"2016 Nature Publishing Group, a division of Macmillan Publishers Limited. All Rights Reserved.","note":"number: 7\npublisher: Nature Publishing Group","page":"581-583","source":"www.nature.com","title":"DADA2: High-resolution sample inference from Illumina amplicon data","title-short":"DADA2","volume":"13","author":[{"family":"Callahan","given":"Benjamin J."},{"family":"McMurdie","given":"Paul J."},{"family":"Rosen","given":"Michael J."},{"family":"Han","given":"Andrew W."},{"family":"Johnson","given":"Amy Jo A."},{"family":"Holmes","given":"Susan P."}],"issued":{"date-parts":[["2016",7]]}}},{"id":240,"uris":["http://zotero.org/users/6401767/items/5GB774IM"],"itemData":{"id":240,"type":"article-journal","abstract":"When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color space data. As an easy to use alternative, we developed the command-line tool cutadapt, which supports 454, Illumina and SOLiD (color space) data, offers two adapter trimming algorithms, and has other useful features. Cutadapt, including its MIT-licensed source code, is available for download at http://code.google.com/p/cutadapt/","container-title":"EMBnet.journal","DOI":"10.14806/ej.17.1.200","ISSN":"2226-6089","issue":"1","language":"en","license":"Copyright (c)","note":"number: 1","page":"10-12","source":"journal.embnet.org","title":"Cutadapt removes adapter sequences from high-throughput sequencing reads","volume":"17","author":[{"family":"Martin","given":"Marcel"}],"issued":{"date-parts":[["2011",5,2]]}}}],"schema":"https://github.com/citation-style-language/schema/raw/master/csl-citation.json"}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(Bolyen et al., 2018; Callahan et al., 2016; Martin, 2011)</w:t>
      </w:r>
      <w:r w:rsidRPr="002579E0">
        <w:rPr>
          <w:rFonts w:ascii="Times New Roman" w:hAnsi="Times New Roman" w:cs="Times New Roman"/>
        </w:rPr>
        <w:fldChar w:fldCharType="end"/>
      </w:r>
      <w:r w:rsidRPr="002579E0">
        <w:rPr>
          <w:rFonts w:ascii="Times New Roman" w:hAnsi="Times New Roman" w:cs="Times New Roman"/>
        </w:rPr>
        <w:t xml:space="preserve">. Reads were trimmed to a length 250 (forward) and 225 (reverse) and quality filtered with a </w:t>
      </w:r>
      <w:proofErr w:type="spellStart"/>
      <w:r w:rsidRPr="002579E0">
        <w:rPr>
          <w:rFonts w:ascii="Times New Roman" w:hAnsi="Times New Roman" w:cs="Times New Roman"/>
        </w:rPr>
        <w:t>maxEE</w:t>
      </w:r>
      <w:proofErr w:type="spellEnd"/>
      <w:r w:rsidRPr="002579E0">
        <w:rPr>
          <w:rFonts w:ascii="Times New Roman" w:hAnsi="Times New Roman" w:cs="Times New Roman"/>
        </w:rPr>
        <w:t xml:space="preserve"> score of three for both forward and reverse reads. </w:t>
      </w:r>
      <w:proofErr w:type="spellStart"/>
      <w:r w:rsidRPr="002579E0">
        <w:rPr>
          <w:rFonts w:ascii="Times New Roman" w:hAnsi="Times New Roman" w:cs="Times New Roman"/>
        </w:rPr>
        <w:t>MaxEE</w:t>
      </w:r>
      <w:proofErr w:type="spellEnd"/>
      <w:r w:rsidRPr="002579E0">
        <w:rPr>
          <w:rFonts w:ascii="Times New Roman" w:hAnsi="Times New Roman" w:cs="Times New Roman"/>
        </w:rPr>
        <w:t xml:space="preserve"> is considered to be a more accurate filtering scheme than the traditional Q score threshold, as accuracy is assessed for every base along a sequence, and rejection criteria are based on expected errors along each read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{"citationID":"zwJJ1Ufb","properties":{"formattedCitation":"(Edgar &amp; Flyvbjerg, 2015)","plainCitation":"(Edgar &amp; Flyvbjerg, 2015)","noteIndex":0},"citationItems":[{"id":239,"uris":["http://zotero.org/users/6401767/items/BMEPGDB4"],"itemData":{"id":239,"type":"article-journal","abstract":"MOTIVATION: Next-generation sequencing produces vast amounts of data with errors that are difficult to distinguish from true biological variation when coverage is low.\nRESULTS: We demonstrate large reductions in error frequencies, especially for high-error-rate reads, by three independent means: (i) filtering reads according to their expected number of errors, (ii) assembling overlapping read pairs and (iii) for amplicon reads, by exploiting unique sequence abundances to perform error correction. We also show that most published paired read assemblers calculate incorrect posterior quality scores.\nAVAILABILITY AND IMPLEMENTATION: These methods are implemented in the USEARCH package. Binaries are freely available at http://drive5.com/usearch.\nCONTACT: robert@drive5.com\nSUPPLEMENTARY INFORMATION: Supplementary data are available at Bioinformatics online.","container-title":"Bioinformatics (Oxford, England)","DOI":"10.1093/bioinformatics/btv401","ISSN":"1367-4811","issue":"21","journalAbbreviation":"Bioinformatics","language":"eng","note":"PMID: 26139637","page":"3476-3482","source":"PubMed","title":"Error filtering, pair assembly and error correction for next-generation sequencing reads","volume":"31","author":[{"family":"Edgar","given":"Robert C."},{"family":"Flyvbjerg","given":"Henrik"}],"issued":{"date-parts":[["2015",11,1]]}}}],"schema":"https://github.com/citation-style-language/schema/raw/master/csl-citation.json"}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(Edgar &amp; Flyvbjerg, 2015)</w:t>
      </w:r>
      <w:r w:rsidRPr="002579E0">
        <w:rPr>
          <w:rFonts w:ascii="Times New Roman" w:hAnsi="Times New Roman" w:cs="Times New Roman"/>
        </w:rPr>
        <w:fldChar w:fldCharType="end"/>
      </w:r>
      <w:r w:rsidRPr="002579E0">
        <w:rPr>
          <w:rFonts w:ascii="Times New Roman" w:hAnsi="Times New Roman" w:cs="Times New Roman"/>
        </w:rPr>
        <w:t xml:space="preserve">. Reads were then merged, and chimeras removed. Sequences were then clustered using to 97% similarity using </w:t>
      </w:r>
      <w:proofErr w:type="spellStart"/>
      <w:r w:rsidRPr="002579E0">
        <w:rPr>
          <w:rFonts w:ascii="Times New Roman" w:hAnsi="Times New Roman" w:cs="Times New Roman"/>
        </w:rPr>
        <w:t>Vsearch</w:t>
      </w:r>
      <w:proofErr w:type="spellEnd"/>
      <w:r w:rsidRPr="002579E0">
        <w:rPr>
          <w:rFonts w:ascii="Times New Roman" w:hAnsi="Times New Roman" w:cs="Times New Roman"/>
        </w:rPr>
        <w:t xml:space="preserve"> and a SEPP fragment insertion tree was created using the Silva 128 database in qiime2 for both ASV and 97% clustering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{"citationID":"2EvXwBXE","properties":{"formattedCitation":"(Janssen et al., 2018)","plainCitation":"(Janssen et al., 2018)","noteIndex":0},"citationItems":[{"id":335,"uris":["http://zotero.org/users/6401767/items/YCUV5V4A"],"itemData":{"id":335,"type":"article-journal","abstract":"The move from OTU-based to sOTU-based analysis, while providing additional resolution, also introduces computational challenges. We demonstrate that one popular method of dealing with sOTUs (building a de novo tree from the short sequences) can provide incorrect results in human gut metagenomic studies and show that phylogenetic placement of the new sequences with SEPP resolves this problem while also yielding other benefits over existing methods., Recent algorithmic advances in amplicon-based microbiome studies enable the inference of exact amplicon sequence fragments. These new methods enable the investigation of sub-operational taxonomic units (sOTU) by removing erroneous sequences. However, short (e.g., 150-nucleotide [nt]) DNA sequence fragments do not contain sufficient phylogenetic signal to reproduce a reasonable tree, introducing a barrier in the utilization of critical phylogenetically aware metrics such as Faith’s PD or UniFrac. Although fragment insertion methods do exist, those methods have not been tested for sOTUs from high-throughput amplicon studies in insertions against a broad reference phylogeny. We benchmarked the SATé-enabled phylogenetic placement (SEPP) technique explicitly against 16S V4 sequence fragments and showed that it outperforms the conceptually problematic but often-used practice of reconstructing de novo phylogenies. In addition, we provide a BSD-licensed QIIME2 plugin (https://github.com/biocore/q2-fragment-insertion) for SEPP and integration into the microbial study management platform QIITA., IMPORTANCE The move from OTU-based to sOTU-based analysis, while providing additional resolution, also introduces computational challenges. We demonstrate that one popular method of dealing with sOTUs (building a de novo tree from the short sequences) can provide incorrect results in human gut metagenomic studies and show that phylogenetic placement of the new sequences with SEPP resolves this problem while also yielding other benefits over existing methods.","container-title":"mSystems","DOI":"10.1128/mSystems.00021-18","ISSN":"2379-5077","issue":"3","journalAbbreviation":"mSystems","note":"PMID: 29719869\nPMCID: PMC5904434","page":"e00021-18","source":"PubMed Central","title":"Phylogenetic Placement of Exact Amplicon Sequences Improves Associations with Clinical Information","volume":"3","author":[{"family":"Janssen","given":"Stefan"},{"family":"McDonald","given":"Daniel"},{"family":"Gonzalez","given":"Antonio"},{"family":"Navas-Molina","given":"Jose A."},{"family":"Jiang","given":"Lingjing"},{"family":"Xu","given":"Zhenjiang Zech"},{"family":"Winker","given":"Kevin"},{"family":"Kado","given":"Deborah M."},{"family":"Orwoll","given":"Eric"},{"family":"Manary","given":"Mark"},{"family":"Mirarab","given":"Siavash"},{"family":"Knight","given":"Rob"}],"issued":{"date-parts":[["2018",4,17]]}}}],"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(Janssen et al., 2018)</w:t>
      </w:r>
      <w:r w:rsidRPr="002579E0">
        <w:rPr>
          <w:rFonts w:ascii="Times New Roman" w:hAnsi="Times New Roman" w:cs="Times New Roman"/>
        </w:rPr>
        <w:fldChar w:fldCharType="end"/>
      </w:r>
      <w:r w:rsidRPr="002579E0">
        <w:rPr>
          <w:rFonts w:ascii="Times New Roman" w:hAnsi="Times New Roman" w:cs="Times New Roman"/>
        </w:rPr>
        <w:t xml:space="preserve">. The phylogeny was then time-calibrated using </w:t>
      </w:r>
      <w:proofErr w:type="spellStart"/>
      <w:r w:rsidRPr="002579E0">
        <w:rPr>
          <w:rFonts w:ascii="Times New Roman" w:hAnsi="Times New Roman" w:cs="Times New Roman"/>
        </w:rPr>
        <w:t>TreePL</w:t>
      </w:r>
      <w:proofErr w:type="spellEnd"/>
      <w:r w:rsidRPr="002579E0">
        <w:rPr>
          <w:rFonts w:ascii="Times New Roman" w:hAnsi="Times New Roman" w:cs="Times New Roman"/>
        </w:rPr>
        <w:t xml:space="preserv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{"citationID":"LhB5PxWG","properties":{"formattedCitation":"(S. A. Smith &amp; O\\uc0\\u8217{}Meara, 2012)","plainCitation":"(S. A. Smith &amp; O’Meara, 2012)","noteIndex":0},"citationItems":[{"id":333,"uris":["http://zotero.org/users/6401767/items/XKRR7INQ"],"itemData":{"id":333,"type":"article-journal","abstract":"Summary: Ever larger phylogenies are being constructed due to the explosion of genetic data and development of high-performance phylogenetic reconstruction algorithms. However, most methods for calculating divergence times are limited to datasets that are orders of magnitude smaller than recently published large phylogenies. Here, we present an algorithm and implementation of a divergence time method using penalized likelihood that can handle datasets of thousands of taxa. We implement a method that combines the standard derivative-based optimization with a stochastic simulated annealing approach to overcome optimization challenges. We compare this approach with existing software including r8s, PATHd8 and BEAST.Availability: Source code, example files, binaries and documentation for treePL are available at https://github.com/blackrim/treePL.Contact:eebsmith@umich.eduSupplementary information:Supplementary data are available at Bioinformatics online.","container-title":"Bioinformatics","DOI":"10.1093/bioinformatics/bts492","ISSN":"1367-4803","issue":"20","journalAbbreviation":"Bioinformatics","page":"2689-2690","source":"Silverchair","title":"treePL: divergence time estimation using penalized likelihood for large phylogenies","title-short":"treePL","volume":"28","author":[{"family":"Smith","given":"Stephen A."},{"family":"O’Meara","given":"Brian C."}],"issued":{"date-parts":[["2012",10,15]]}}}],"schema":"https://github.com/citation-style-language/schema/raw/master/csl-citation.json"} </w:instrText>
      </w:r>
      <w:r w:rsidRPr="002579E0">
        <w:rPr>
          <w:rFonts w:ascii="Times New Roman" w:hAnsi="Times New Roman" w:cs="Times New Roman"/>
        </w:rPr>
        <w:fldChar w:fldCharType="separate"/>
      </w:r>
      <w:r w:rsidR="004D2321" w:rsidRPr="004D2321">
        <w:rPr>
          <w:rFonts w:ascii="Times New Roman" w:hAnsi="Times New Roman" w:cs="Times New Roman"/>
        </w:rPr>
        <w:t>(S. A. Smith &amp; O’Meara, 2012)</w:t>
      </w:r>
      <w:r w:rsidRPr="002579E0">
        <w:rPr>
          <w:rFonts w:ascii="Times New Roman" w:hAnsi="Times New Roman" w:cs="Times New Roman"/>
        </w:rPr>
        <w:fldChar w:fldCharType="end"/>
      </w:r>
      <w:r w:rsidRPr="002579E0">
        <w:rPr>
          <w:rFonts w:ascii="Times New Roman" w:hAnsi="Times New Roman" w:cs="Times New Roman"/>
        </w:rPr>
        <w:t xml:space="preserve"> and taxonomy was assigned to the sequences via the </w:t>
      </w:r>
      <w:proofErr w:type="spellStart"/>
      <w:r w:rsidRPr="002579E0">
        <w:rPr>
          <w:rFonts w:ascii="Times New Roman" w:hAnsi="Times New Roman" w:cs="Times New Roman"/>
        </w:rPr>
        <w:t>IdTaxa</w:t>
      </w:r>
      <w:proofErr w:type="spellEnd"/>
      <w:r w:rsidRPr="002579E0">
        <w:rPr>
          <w:rFonts w:ascii="Times New Roman" w:hAnsi="Times New Roman" w:cs="Times New Roman"/>
        </w:rPr>
        <w:t xml:space="preserve"> algorithm, using the Silva SSU 132 database as a reference in R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{"citationID":"UEC76jxC","properties":{"formattedCitation":"(Murali et al., 2018; Quast et al., 2013)","plainCitation":"(Murali et al., 2018; Quast et al., 2013)","noteIndex":0},"citationItems":[{"id":238,"uris":["http://zotero.org/users/6401767/items/P5JBHN9V"],"itemData":{"id":238,"type":"article-journal","abstract":"Microbiome studies often involve sequencing a marker gene to identify the microorganisms in samples of interest. Sequence classification is a critical component of this process, whereby sequences are assigned to a reference taxonomy containing known sequence representatives of many microbial groups. Previous studies have shown that existing classification programs often assign sequences to reference groups even if they belong to novel taxonomic groups that are absent from the reference taxonomy. This high rate of “over classification” is particularly detrimental in microbiome studies because reference taxonomies are far from comprehensive.","container-title":"Microbiome","DOI":"10.1186/s40168-018-0521-5","ISSN":"2049-2618","issue":"1","journalAbbreviation":"Microbiome","page":"140","source":"BioMed Central","title":"IDTAXA: a novel approach for accurate taxonomic classification of microbiome sequences","title-short":"IDTAXA","volume":"6","author":[{"family":"Murali","given":"Adithya"},{"family":"Bhargava","given":"Aniruddha"},{"family":"Wright","given":"Erik S."}],"issued":{"date-parts":[["2018",8,9]]}}},{"id":237,"uris":["http://zotero.org/users/6401767/items/TUY3S4G4"],"itemData":{"id":237,"type":"article-journal","abstract":"SILVA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approaches.","container-title":"Nucleic Acids Research","DOI":"10.1093/nar/gks1219","ISSN":"0305-1048","issue":"Database issue","journalAbbreviation":"Nucleic Acids Res","note":"PMID: 23193283\nPMCID: PMC3531112","page":"D590-D596","source":"PubMed Central","title":"The SILVA ribosomal RNA gene database project: improved data processing and web-based tools","title-short":"The SILVA ribosomal RNA gene database project","volume":"41","author":[{"family":"Quast","given":"Christian"},{"family":"Pruesse","given":"Elmar"},{"family":"Yilmaz","given":"Pelin"},{"family":"Gerken","given":"Jan"},{"family":"Schweer","given":"Timmy"},{"family":"Yarza","given":"Pablo"},{"family":"Peplies","given":"Jörg"},{"family":"Glöckner","given":"Frank Oliver"}],"issued":{"date-parts":[["2013",1]]}}}],"schema":"https://github.com/citation-style-language/schema/raw/master/csl-citation.json"}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(Murali et al., 2018; Quast et al., 2013)</w:t>
      </w:r>
      <w:r w:rsidRPr="002579E0">
        <w:rPr>
          <w:rFonts w:ascii="Times New Roman" w:hAnsi="Times New Roman" w:cs="Times New Roman"/>
        </w:rPr>
        <w:fldChar w:fldCharType="end"/>
      </w:r>
      <w:r w:rsidRPr="002579E0">
        <w:rPr>
          <w:rFonts w:ascii="Times New Roman" w:hAnsi="Times New Roman" w:cs="Times New Roman"/>
        </w:rPr>
        <w:t>. Contamination from control samples (sterile water, extraction, and PCR blanks) were removed using the ‘</w:t>
      </w:r>
      <w:proofErr w:type="spellStart"/>
      <w:r w:rsidRPr="002579E0">
        <w:rPr>
          <w:rFonts w:ascii="Times New Roman" w:hAnsi="Times New Roman" w:cs="Times New Roman"/>
        </w:rPr>
        <w:t>decontam</w:t>
      </w:r>
      <w:proofErr w:type="spellEnd"/>
      <w:r w:rsidRPr="002579E0">
        <w:rPr>
          <w:rFonts w:ascii="Times New Roman" w:hAnsi="Times New Roman" w:cs="Times New Roman"/>
        </w:rPr>
        <w:t xml:space="preserve">’ package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{"citationID":"4ZpJVWHh","properties":{"formattedCitation":"(Davis et al., 2018)","plainCitation":"(Davis et al., 2018)","noteIndex":0},"citationItems":[{"id":234,"uris":["http://zotero.org/users/6401767/items/T4AJFXW6"],"itemData":{"id":234,"type":"article-journal","abstract":"The accuracy of microbial community surveys based on marker-gene and metagenomic sequencing (MGS) suffers from the presence of contaminants—DNA sequences not truly present in the sample. Contaminants come from various sources, including reagents. Appropriate laboratory practices can reduce contamination, but do not eliminate it. Here we introduce decontam (https://github.com/benjjneb/decontam), an open-source R package that implements a statistical classification procedure that identifies contaminants in MGS data based on two widely reproduced patterns: contaminants appear at higher frequencies in low-concentration samples and are often found in negative controls.","container-title":"Microbiome","DOI":"10.1186/s40168-018-0605-2","ISSN":"2049-2618","issue":"1","journalAbbreviation":"Microbiome","page":"226","source":"BioMed Central","title":"Simple statistical identification and removal of contaminant sequences in marker-gene and metagenomics data","volume":"6","author":[{"family":"Davis","given":"Nicole M."},{"family":"Proctor","given":"Diana M."},{"family":"Holmes","given":"Susan P."},{"family":"Relman","given":"David A."},{"family":"Callahan","given":"Benjamin J."}],"issued":{"date-parts":[["2018",12,17]]}}}],"schema":"https://github.com/citation-style-language/schema/raw/master/csl-citation.json"}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(Davis et al., 2018)</w:t>
      </w:r>
      <w:r w:rsidRPr="002579E0">
        <w:rPr>
          <w:rFonts w:ascii="Times New Roman" w:hAnsi="Times New Roman" w:cs="Times New Roman"/>
        </w:rPr>
        <w:fldChar w:fldCharType="end"/>
      </w:r>
      <w:r w:rsidRPr="002579E0">
        <w:rPr>
          <w:rFonts w:ascii="Times New Roman" w:hAnsi="Times New Roman" w:cs="Times New Roman"/>
        </w:rPr>
        <w:t xml:space="preserve">. This resulted in the removal of 205 ASVs from our dataset. Following contamination removal, control samples and any sample with reads below the highest control library size were removed from the dataset. If this resulted in samples no longer being paired, the matching sample was also removed. Prior to analyses, reads assigned </w:t>
      </w:r>
      <w:r w:rsidRPr="002579E0">
        <w:rPr>
          <w:rFonts w:ascii="Times New Roman" w:hAnsi="Times New Roman" w:cs="Times New Roman"/>
        </w:rPr>
        <w:lastRenderedPageBreak/>
        <w:t xml:space="preserve">to Chloroplast and Mitochondria were removed as well as singletons, resulting in 3,124,159 reads mapped to 21,057 OTUs (97% clustering) and 62,065 ASVs in 165 samples. </w:t>
      </w:r>
    </w:p>
    <w:p w14:paraId="4808FD36" w14:textId="2F53AF6F" w:rsidR="009F0C02" w:rsidRPr="00491D83" w:rsidRDefault="009F0C02" w:rsidP="004B6806">
      <w:pPr>
        <w:pStyle w:val="Heading3"/>
        <w:spacing w:line="360" w:lineRule="auto"/>
        <w:rPr>
          <w:rFonts w:ascii="Times New Roman" w:hAnsi="Times New Roman" w:cs="Times New Roman"/>
          <w:b w:val="0"/>
          <w:bCs w:val="0"/>
          <w:szCs w:val="24"/>
        </w:rPr>
      </w:pPr>
      <w:bookmarkStart w:id="18" w:name="_Toc165028053"/>
      <w:r w:rsidRPr="00491D83">
        <w:rPr>
          <w:rFonts w:ascii="Times New Roman" w:hAnsi="Times New Roman" w:cs="Times New Roman"/>
          <w:b w:val="0"/>
          <w:bCs w:val="0"/>
          <w:szCs w:val="24"/>
        </w:rPr>
        <w:t xml:space="preserve">Rarefaction and </w:t>
      </w:r>
      <w:r w:rsidR="008A6662" w:rsidRPr="00491D83">
        <w:rPr>
          <w:rFonts w:ascii="Times New Roman" w:hAnsi="Times New Roman" w:cs="Times New Roman"/>
          <w:b w:val="0"/>
          <w:bCs w:val="0"/>
          <w:szCs w:val="24"/>
        </w:rPr>
        <w:t>d</w:t>
      </w:r>
      <w:r w:rsidRPr="00491D83">
        <w:rPr>
          <w:rFonts w:ascii="Times New Roman" w:hAnsi="Times New Roman" w:cs="Times New Roman"/>
          <w:b w:val="0"/>
          <w:bCs w:val="0"/>
          <w:szCs w:val="24"/>
        </w:rPr>
        <w:t>iversity</w:t>
      </w:r>
      <w:bookmarkEnd w:id="18"/>
    </w:p>
    <w:p w14:paraId="15E9F69A" w14:textId="568FCF53"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 xml:space="preserve">Estimating diversity for microbial assemblages from a single sample poses challenges for researchers, since each sample is only a momentary snapshot of a larger picture and thus true diversity is likely underestimated. Not only does sampling result in rare species going undetected, but also tends to inflate the unevenness of species abundances. These biases can be further exacerbated by PCR, and sequencing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{"citationID":"2eeaO2i3","properties":{"formattedCitation":"(Gohl et al., 2016; Pollock et al., 2018; Willis, 2019)","plainCitation":"(Gohl et al., 2016; Pollock et al., 2018; Willis, 2019)","noteIndex":0},"citationItems":[{"id":231,"uris":["http://zotero.org/users/6401767/items/ACLGG9CS"],"itemData":{"id":231,"type":"article-journal","abstract":"Amplicon-based marker gene surveys form the basis of most microbiome and other microbial community studies. Such PCR-based methods have multiple steps, each of which is susceptible to error and bias. Variance in results has also arisen through the use of multiple methods of next-generation sequencing (NGS) amplicon library preparation. Here we formally characterized errors and biases by comparing different methods of amplicon-based NGS library preparation. Using mock community standards, we analyzed the amplification process to reveal insights into sources of experimental error and bias in amplicon-based microbial community and microbiome experiments. We present a method that improves on the current best practices and enables the detection of taxonomic groups that often go undetected with existing methods.","container-title":"Nature Biotechnology","DOI":"10.1038/nbt.3601","ISSN":"1546-1696","issue":"9","journalAbbreviation":"Nat. Biotechnol.","language":"eng","note":"PMID: 27454739","page":"942-949","source":"PubMed","title":"Systematic improvement of amplicon marker gene methods for increased accuracy in microbiome studies","volume":"34","author":[{"family":"Gohl","given":"Daryl M."},{"family":"Vangay","given":"Pajau"},{"family":"Garbe","given":"John"},{"family":"MacLean","given":"Allison"},{"family":"Hauge","given":"Adam"},{"family":"Becker","given":"Aaron"},{"family":"Gould","given":"Trevor J."},{"family":"Clayton","given":"Jonathan B."},{"family":"Johnson","given":"Timothy J."},{"family":"Hunter","given":"Ryan"},{"family":"Knights","given":"Dan"},{"family":"Beckman","given":"Kenneth B."}],"issued":{"date-parts":[["2016"]]}}},{"id":232,"uris":["http://zotero.org/users/6401767/items/MP8VJD85"],"itemData":{"id":232,"type":"article-journal","abstract":"The development and continuous improvement of high-throughput sequencing platforms have stimulated interest in the study of complex microbial communities. Currently, the most popular sequencing approach to study microbial community composition and dynamics is targeted 16S rRNA gene metabarcoding. To prepare samples for sequencing, there are a variety of processing steps, each with the potential to introduce bias at the data analysis stage. In this short review, key information from the literature pertaining to each processing step is described, and consequently, general recommendations for future 16S rRNA gene metabarcoding experiments are made.","container-title":"Applied and Environmental Microbiology","DOI":"10.1128/AEM.02627-17","ISSN":"1098-5336","issue":"7","journalAbbreviation":"Appl. Environ. Microbiol.","language":"eng","note":"PMID: 29427429\nPMCID: PMC5861821","source":"PubMed","title":"The Madness of Microbiome: Attempting To Find Consensus \"Best Practice\" for 16S Microbiome Studies","title-short":"The Madness of Microbiome","volume":"84","author":[{"family":"Pollock","given":"Jolinda"},{"family":"Glendinning","given":"Laura"},{"family":"Wisedchanwet","given":"Trong"},{"family":"Watson","given":"Mick"}],"issued":{"date-parts":[["2018"]],"season":"01"}}},{"id":233,"uris":["http://zotero.org/users/6401767/items/GSF2T7FF"],"itemData":{"id":233,"type":"article-journal","abstract":"Understanding the drivers of diversity is a fundamental question in ecology. Extensive literature discusses different methods for describing diversity and documenting its effects on ecosystem health and function. However, it is widely believed that diversity depends on the intensity of sampling. I discuss a statistical perspective on diversity, framing the diversity of an environment as an unknown parameter, and discussing the bias and variance of plug-in and rarefied estimates. I describe the state of the statistical literature for addressing these problems, focusing on the analysis of microbial diversity. I argue that latent variable models can address issues with variance, but bias corrections need to be utilised as well. I encourage ecologists to use estimates of diversity that account for unobserved species, and to use measurement error models to compare diversity across ecosystems.","container-title":"Frontiers in Microbiology","DOI":"10.3389/fmicb.2019.02407","ISSN":"1664-302X","journalAbbreviation":"Front. Microbiol.","language":"English","note":"publisher: Frontiers","source":"Frontiers","title":"Rarefaction, Alpha Diversity, and Statistics","URL":"https://www.frontiersin.org/articles/10.3389/fmicb.2019.02407/full","volume":"10","author":[{"family":"Willis","given":"Amy D."}],"accessed":{"date-parts":[["2020",8,10]]},"issued":{"date-parts":[["2019"]]}}}],"schema":"https://github.com/citation-style-language/schema/raw/master/csl-citation.json"}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(Gohl et al., 2016; Pollock et al., 2018; Willis, 2019)</w:t>
      </w:r>
      <w:r w:rsidRPr="002579E0">
        <w:rPr>
          <w:rFonts w:ascii="Times New Roman" w:hAnsi="Times New Roman" w:cs="Times New Roman"/>
        </w:rPr>
        <w:fldChar w:fldCharType="end"/>
      </w:r>
      <w:r w:rsidRPr="002579E0">
        <w:rPr>
          <w:rFonts w:ascii="Times New Roman" w:hAnsi="Times New Roman" w:cs="Times New Roman"/>
        </w:rPr>
        <w:t xml:space="preserve">. Post sequencing, differences in library sizes can drastically affect diversity estimates, thus transformations are necessary to adequately compare differences within and between samples in a biologically and statistically meaningful manner. Scaling, rarefying, and log-transforming are three commonly used techniques to post-hoc standardize raw abundance data, but only rarefaction removes the effects of unequal library sizes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{"citationID":"qaFqcT0P","properties":{"formattedCitation":"(Weiss et al., 2017)","plainCitation":"(Weiss et al., 2017)","noteIndex":0},"citationItems":[{"id":230,"uris":["http://zotero.org/users/6401767/items/CXL3ZAZM"],"itemData":{"id":230,"type":"article-journal","abstract":"Data from 16S ribosomal RNA (rRNA) amplicon sequencing present challenges to ecological and statistical interpretation. In particular, library sizes often vary over several ranges of magnitude, and the data contains many zeros. Although we are typically interested in comparing relative abundance of taxa in the ecosystem of two or more groups, we can only measure the taxon relative abundance in specimens obtained from the ecosystems. Because the comparison of taxon relative abundance in the specimen is not equivalent to the comparison of taxon relative abundance in the ecosystems, this presents a special challenge. Second, because the relative abundance of taxa in the specimen (as well as in the ecosystem) sum to 1, these are compositional data. Because the compositional data are constrained by the simplex (sum to 1) and are not unconstrained in the Euclidean space, many standard methods of analysis are not applicable. Here, we evaluate how these challenges impact the performance of existing normalization methods and differential abundance analyses.","container-title":"Microbiome","DOI":"10.1186/s40168-017-0237-y","ISSN":"2049-2618","issue":"1","journalAbbreviation":"Microbiome","page":"27","source":"BioMed Central","title":"Normalization and microbial differential abundance strategies depend upon data characteristics","volume":"5","author":[{"family":"Weiss","given":"Sophie"},{"family":"Xu","given":"Zhenjiang Zech"},{"family":"Peddada","given":"Shyamal"},{"family":"Amir","given":"Amnon"},{"family":"Bittinger","given":"Kyle"},{"family":"Gonzalez","given":"Antonio"},{"family":"Lozupone","given":"Catherine"},{"family":"Zaneveld","given":"Jesse R."},{"family":"Vázquez-Baeza","given":"Yoshiki"},{"family":"Birmingham","given":"Amanda"},{"family":"Hyde","given":"Embriette R."},{"family":"Knight","given":"Rob"}],"issued":{"date-parts":[["2017",3,3]]}}}],"schema":"https://github.com/citation-style-language/schema/raw/master/csl-citation.json"}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(Weiss et al., 2017)</w:t>
      </w:r>
      <w:r w:rsidRPr="002579E0">
        <w:rPr>
          <w:rFonts w:ascii="Times New Roman" w:hAnsi="Times New Roman" w:cs="Times New Roman"/>
        </w:rPr>
        <w:fldChar w:fldCharType="end"/>
      </w:r>
      <w:r w:rsidRPr="002579E0">
        <w:rPr>
          <w:rFonts w:ascii="Times New Roman" w:hAnsi="Times New Roman" w:cs="Times New Roman"/>
        </w:rPr>
        <w:t>. Despite comparable raw library sizes between salamanders and cover objects, we observed differences in richness and a positive relationship between ASV richness and library size (</w:t>
      </w:r>
      <w:r w:rsidR="00497FBE" w:rsidRPr="006124B0">
        <w:rPr>
          <w:rFonts w:ascii="Times New Roman" w:hAnsi="Times New Roman" w:cs="Times New Roman"/>
          <w:b/>
          <w:bCs/>
        </w:rPr>
        <w:t>Appendix Fig. A</w:t>
      </w:r>
      <w:r w:rsidRPr="006124B0">
        <w:rPr>
          <w:rFonts w:ascii="Times New Roman" w:hAnsi="Times New Roman" w:cs="Times New Roman"/>
          <w:b/>
          <w:bCs/>
        </w:rPr>
        <w:t>1</w:t>
      </w:r>
      <w:r w:rsidRPr="002579E0">
        <w:rPr>
          <w:rFonts w:ascii="Times New Roman" w:hAnsi="Times New Roman" w:cs="Times New Roman"/>
        </w:rPr>
        <w:t xml:space="preserve">). To ensure equal sampling for diversity estimations, we performed multiple rarefactions of all samples to the lowest sample library (2,785 reads) 500 times and estimated alpha diversity (a) and taxonomic pairwise dissimilarities (b diversity) for each rarefaction using the R packages vegan and vegetarian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{"citationID":"HGSGQHmc","properties":{"formattedCitation":"(Charney &amp; Record, 2012; Oksanen et al., 2019)","plainCitation":"(Charney &amp; Record, 2012; Oksanen et al., 2019)","noteIndex":0},"citationItems":[{"id":220,"uris":["http://zotero.org/users/6401767/items/F9L85V2D"],"itemData":{"id":220,"type":"software","title":"vegetarian: Jost Diversity Measures for Community","URL":"https://CRAN.R-project.org/package=vegetarian","version":"R package version 1.2","author":[{"family":"Charney","given":"Noah"},{"family":"Record","given":"Sydne"}],"issued":{"date-parts":[["2012"]]}}},{"id":223,"uris":["http://zotero.org/users/6401767/items/PZENS6MG"],"itemData":{"id":223,"type":"software","title":"vegan: Community Ecology Package.","URL":"https://CRAN.R-project.org/package=vegan","version":"R package version 2.5-6","author":[{"family":"Oksanen","given":"Jari"},{"family":"Blanchet","given":"Guillaume"},{"family":"Friendly","given":"Michael"},{"family":"Legendre","given":"Pierre"},{"family":"McGlinn","given":"Peter R."},{"family":"O'Hara","given":"R.B."},{"family":"Simpson","given":"Gavin L."},{"family":"Solymos","given":"Peter"},{"family":"Stevens","given":"M. Henry H."},{"family":"Szoecs","given":"Eduard"},{"family":"Wagner","given":"Helene"}],"issued":{"date-parts":[["2019"]]}}}],"schema":"https://github.com/citation-style-language/schema/raw/master/csl-citation.json"}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(Charney &amp; Record, 2012; Oksanen et al., 2019)</w:t>
      </w:r>
      <w:r w:rsidRPr="002579E0">
        <w:rPr>
          <w:rFonts w:ascii="Times New Roman" w:hAnsi="Times New Roman" w:cs="Times New Roman"/>
        </w:rPr>
        <w:fldChar w:fldCharType="end"/>
      </w:r>
      <w:r w:rsidRPr="002579E0">
        <w:rPr>
          <w:rFonts w:ascii="Times New Roman" w:hAnsi="Times New Roman" w:cs="Times New Roman"/>
        </w:rPr>
        <w:t xml:space="preserve">.  </w:t>
      </w:r>
    </w:p>
    <w:p w14:paraId="435FB7DF" w14:textId="7911E5BC" w:rsidR="007754C0" w:rsidRPr="002579E0" w:rsidRDefault="00895912" w:rsidP="004B6806">
      <w:pPr>
        <w:spacing w:line="360" w:lineRule="auto"/>
        <w:rPr>
          <w:rFonts w:ascii="Times New Roman" w:hAnsi="Times New Roman" w:cs="Times New Roman"/>
        </w:rPr>
      </w:pPr>
      <w:r w:rsidRPr="002579E0">
        <w:rPr>
          <w:rFonts w:ascii="Times New Roman" w:hAnsi="Times New Roman" w:cs="Times New Roman"/>
        </w:rPr>
        <w:tab/>
        <w:t xml:space="preserve">Beyond biases associated with sequencing, a large proportion of rare sequences can distort the interpretation of alpha diversity. One remedy to this issue is estimating diversity using Hill numbers and assessing differences across orders of </w:t>
      </w:r>
      <w:r w:rsidRPr="002579E0">
        <w:rPr>
          <w:rFonts w:ascii="Times New Roman" w:hAnsi="Times New Roman" w:cs="Times New Roman"/>
          <w:i/>
          <w:iCs/>
        </w:rPr>
        <w:t>q</w:t>
      </w:r>
      <w:r w:rsidRPr="002579E0">
        <w:rPr>
          <w:rFonts w:ascii="Times New Roman" w:hAnsi="Times New Roman" w:cs="Times New Roman"/>
        </w:rPr>
        <w:t xml:space="preserv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{"citationID":"AJFnmafF","properties":{"formattedCitation":"(Chiu &amp; Chao, 2014; M. O. Hill, 1973)","plainCitation":"(Chiu &amp; Chao, 2014; M. O. Hill, 1973)","noteIndex":0},"citationItems":[{"id":132,"uris":["http://zotero.org/users/6401767/items/9QCWQUDM"],"itemData":{"id":132,"type":"article-journal","abstract":"Hill numbers (or the ‘‘effective number of species’’) are increasingly used to characterize species diversity of an assemblage. This work extends Hill numbers to incorporate species pairwise functional distances calculated from species traits. We derive a parametric class of functional Hill numbers, which quantify ‘‘the effective number of equally abundant and (functionally) equally distinct species’’ in an assemblage. We also propose a class of mean functional diversity (per species), which quantifies the effective sum of functional distances between a fixed species to all other species. The product of the functional Hill number and the mean functional diversity thus quantifies the (total) functional diversity, i.e., the effective total distance between species of the assemblage. The three measures (functional Hill numbers, mean functional diversity and total functional diversity) quantify different aspects of species trait space, and all are based on species abundance and species pairwise functional distances. When all species are equally distinct, our functional Hill numbers reduce to ordinary Hill numbers. When species abundances are not considered or species are equally abundant, our total functional diversity reduces to the sum of all pairwise distances between species of an assemblage. The functional Hill numbers and the mean functional diversity both satisfy a replication principle, implying the total functional diversity satisfies a quadratic replication principle. When there are multiple assemblages defined by the investigator, each of the three measures of the pooled assemblage (gamma) can be multiplicatively decomposed into alpha and beta components, and the two components are independent. The resulting beta component measures pure functional differentiation among assemblages and can be further transformed to obtain several classes of normalized functional similarity (or differentiation) measures, including Nassemblage functional generalizations of the classic Jaccard, Sørensen, Horn and Morisita-Horn similarity indices. The proposed measures are applied to artificial and real data for illustration.","container-title":"PLoS ONE","DOI":"10.1371/journal.pone.0100014","ISSN":"1932-6203","issue":"7","journalAbbreviation":"PLoS ONE","language":"en","page":"e100014","source":"DOI.org (Crossref)","title":"Distance-Based Functional Diversity Measures and Their Decomposition: A Framework Based on Hill Numbers","title-short":"Distance-Based Functional Diversity Measures and Their Decomposition","volume":"9","author":[{"family":"Chiu","given":"Chun-Huo"},{"family":"Chao","given":"Anne"}],"editor":[{"family":"Bello","given":"Francesco","non-dropping-particle":"de"}],"issued":{"date-parts":[["2014",7,7]]}}},{"id":217,"uris":["http://zotero.org/users/6401767/items/5B8W7WU6"],"itemData":{"id":217,"type":"article-journal","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derived.","archive":"JSTOR","container-title":"Ecology","DOI":"10.2307/1934352","ISSN":"0012-9658","issue":"2","note":"publisher: Ecological Society of America","page":"427-432","source":"JSTOR","title":"Diversity and Evenness: A Unifying Notation and Its Consequences","title-short":"Diversity and Evenness","volume":"54","author":[{"family":"Hill","given":"M. O."}],"issued":{"date-parts":[["1973"]]}}}],"schema":"https://github.com/citation-style-language/schema/raw/master/csl-citation.json"}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(Chiu &amp; Chao, 2014; M. O. Hill, 1973)</w:t>
      </w:r>
      <w:r w:rsidRPr="002579E0">
        <w:rPr>
          <w:rFonts w:ascii="Times New Roman" w:hAnsi="Times New Roman" w:cs="Times New Roman"/>
        </w:rPr>
        <w:fldChar w:fldCharType="end"/>
      </w:r>
      <w:r w:rsidRPr="002579E0">
        <w:rPr>
          <w:rFonts w:ascii="Times New Roman" w:hAnsi="Times New Roman" w:cs="Times New Roman"/>
        </w:rPr>
        <w:t>. This approach applies monotonic transformations to a standard formula</w:t>
      </w:r>
      <w:r w:rsidR="00CA30E3">
        <w:rPr>
          <w:rFonts w:ascii="Times New Roman" w:hAnsi="Times New Roman" w:cs="Times New Roman"/>
        </w:rPr>
        <w:t xml:space="preserve">, </w:t>
      </w:r>
      <w:r w:rsidRPr="002579E0">
        <w:rPr>
          <w:rFonts w:ascii="Times New Roman" w:hAnsi="Times New Roman" w:cs="Times New Roman"/>
        </w:rPr>
        <w:t xml:space="preserve">establishing an intuitive and comparable scale: effective number of species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{"citationID":"gyeyRgHz","properties":{"formattedCitation":"(Jost, 2007)","plainCitation":"(Jost, 2007)","noteIndex":0},"citationItems":[{"id":467,"uris":["http://zotero.org/users/6401767/items/U7KR7RBX"],"itemData":{"id":467,"type":"article-journal","container-title":"Ecology","issue":"10","language":"en","page":"2427-2439","source":"Zotero","title":"Partitioning Diversity into Independent Alpha and Beta Components","volume":"88","author":[{"family":"Jost","given":"Lou"}],"issued":{"date-parts":[["2007"]]}}}],"schema":"https://github.com/citation-style-language/schema/raw/master/csl-citation.json"}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(Jost, 2007)</w:t>
      </w:r>
      <w:r w:rsidRPr="002579E0">
        <w:rPr>
          <w:rFonts w:ascii="Times New Roman" w:hAnsi="Times New Roman" w:cs="Times New Roman"/>
        </w:rPr>
        <w:fldChar w:fldCharType="end"/>
      </w:r>
      <w:r w:rsidRPr="002579E0">
        <w:rPr>
          <w:rFonts w:ascii="Times New Roman" w:hAnsi="Times New Roman" w:cs="Times New Roman"/>
        </w:rPr>
        <w:t xml:space="preserve">. Hill numbers also follow the replication principle, which states that diversity in </w:t>
      </w:r>
      <w:r w:rsidRPr="002579E0">
        <w:rPr>
          <w:rFonts w:ascii="Times New Roman" w:hAnsi="Times New Roman" w:cs="Times New Roman"/>
          <w:i/>
          <w:iCs/>
        </w:rPr>
        <w:t>N</w:t>
      </w:r>
      <w:r w:rsidRPr="002579E0">
        <w:rPr>
          <w:rFonts w:ascii="Times New Roman" w:hAnsi="Times New Roman" w:cs="Times New Roman"/>
        </w:rPr>
        <w:t xml:space="preserve"> completely distinct communities of equal sizes, when pooled, must be </w:t>
      </w:r>
      <w:r w:rsidRPr="002579E0">
        <w:rPr>
          <w:rFonts w:ascii="Times New Roman" w:hAnsi="Times New Roman" w:cs="Times New Roman"/>
          <w:i/>
          <w:iCs/>
        </w:rPr>
        <w:t>N</w:t>
      </w:r>
      <w:r w:rsidRPr="002579E0">
        <w:rPr>
          <w:rFonts w:ascii="Times New Roman" w:hAnsi="Times New Roman" w:cs="Times New Roman"/>
        </w:rPr>
        <w:t xml:space="preserve"> times the diversity of a single assemblage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{"citationID":"Lp5KiHJb","properties":{"formattedCitation":"(Chiu &amp; Chao, 2014)","plainCitation":"(Chiu &amp; Chao, 2014)","noteIndex":0},"citationItems":[{"id":132,"uris":["http://zotero.org/users/6401767/items/9QCWQUDM"],"itemData":{"id":132,"type":"article-journal","abstract":"Hill numbers (or the ‘‘effective number of species’’) are increasingly used to characterize species diversity of an assemblage. This work extends Hill numbers to incorporate species pairwise functional distances calculated from species traits. We derive a parametric class of functional Hill numbers, which quantify ‘‘the effective number of equally abundant and (functionally) equally distinct species’’ in an assemblage. We also propose a class of mean functional diversity (per species), which quantifies the effective sum of functional distances between a fixed species to all other species. The product of the functional Hill number and the mean functional diversity thus quantifies the (total) functional diversity, i.e., the effective total distance between species of the assemblage. The three measures (functional Hill numbers, mean functional diversity and total functional diversity) quantify different aspects of species trait space, and all are based on species abundance and species pairwise functional distances. When all species are equally distinct, our functional Hill numbers reduce to ordinary Hill numbers. When species abundances are not considered or species are equally abundant, our total functional diversity reduces to the sum of all pairwise distances between species of an assemblage. The functional Hill numbers and the mean functional diversity both satisfy a replication principle, implying the total functional diversity satisfies a quadratic replication principle. When there are multiple assemblages defined by the investigator, each of the three measures of the pooled assemblage (gamma) can be multiplicatively decomposed into alpha and beta components, and the two components are independent. The resulting beta component measures pure functional differentiation among assemblages and can be further transformed to obtain several classes of normalized functional similarity (or differentiation) measures, including Nassemblage functional generalizations of the classic Jaccard, Sørensen, Horn and Morisita-Horn similarity indices. The proposed measures are applied to artificial and real data for illustration.","container-title":"PLoS ONE","DOI":"10.1371/journal.pone.0100014","ISSN":"1932-6203","issue":"7","journalAbbreviation":"PLoS ONE","language":"en","page":"e100014","source":"DOI.org (Crossref)","title":"Distance-Based Functional Diversity Measures and Their Decomposition: A Framework Based on Hill Numbers","title-short":"Distance-Based Functional Diversity Measures and Their Decomposition","volume":"9","author":[{"family":"Chiu","given":"Chun-Huo"},{"family":"Chao","given":"Anne"}],"editor":[{"family":"Bello","given":"Francesco","non-dropping-particle":"de"}],"issued":{"date-parts":[["2014",7,7]]}}}],"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(Chiu &amp; Chao, 2014)</w:t>
      </w:r>
      <w:r w:rsidRPr="002579E0">
        <w:rPr>
          <w:rFonts w:ascii="Times New Roman" w:hAnsi="Times New Roman" w:cs="Times New Roman"/>
        </w:rPr>
        <w:fldChar w:fldCharType="end"/>
      </w:r>
      <w:r w:rsidRPr="002579E0">
        <w:rPr>
          <w:rFonts w:ascii="Times New Roman" w:hAnsi="Times New Roman" w:cs="Times New Roman"/>
        </w:rPr>
        <w:t xml:space="preserve">. Hill Numbers have gained recent traction for estimating </w:t>
      </w:r>
      <w:r w:rsidRPr="002579E0">
        <w:rPr>
          <w:rFonts w:ascii="Times New Roman" w:hAnsi="Times New Roman" w:cs="Times New Roman"/>
        </w:rPr>
        <w:sym w:font="Symbol" w:char="F061"/>
      </w:r>
      <w:r w:rsidRPr="002579E0">
        <w:rPr>
          <w:rFonts w:ascii="Times New Roman" w:hAnsi="Times New Roman" w:cs="Times New Roman"/>
        </w:rPr>
        <w:t xml:space="preserve"> diversity since their formulation in the 1970’s and have been extended to evaluate </w:t>
      </w:r>
      <w:r w:rsidRPr="002579E0">
        <w:rPr>
          <w:rFonts w:ascii="Times New Roman" w:hAnsi="Times New Roman" w:cs="Times New Roman"/>
        </w:rPr>
        <w:sym w:font="Symbol" w:char="F062"/>
      </w:r>
      <w:r w:rsidRPr="002579E0">
        <w:rPr>
          <w:rFonts w:ascii="Times New Roman" w:hAnsi="Times New Roman" w:cs="Times New Roman"/>
        </w:rPr>
        <w:t xml:space="preserve"> diversity using a multiplicative </w:t>
      </w:r>
      <w:r w:rsidRPr="002579E0">
        <w:rPr>
          <w:rFonts w:ascii="Times New Roman" w:hAnsi="Times New Roman" w:cs="Times New Roman"/>
        </w:rPr>
        <w:lastRenderedPageBreak/>
        <w:sym w:font="Symbol" w:char="F062"/>
      </w:r>
      <w:r w:rsidRPr="002579E0">
        <w:rPr>
          <w:rFonts w:ascii="Times New Roman" w:hAnsi="Times New Roman" w:cs="Times New Roman"/>
        </w:rPr>
        <w:t xml:space="preserve">, allowing researchers to conveniently compare differences within and between samples in a unified framework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{"citationID":"a9WkGjGY","properties":{"formattedCitation":"(Jost, 2007)","plainCitation":"(Jost, 2007)","noteIndex":0},"citationItems":[{"id":467,"uris":["http://zotero.org/users/6401767/items/U7KR7RBX"],"itemData":{"id":467,"type":"article-journal","container-title":"Ecology","issue":"10","language":"en","page":"2427-2439","source":"Zotero","title":"Partitioning Diversity into Independent Alpha and Beta Components","volume":"88","author":[{"family":"Jost","given":"Lou"}],"issued":{"date-parts":[["2007"]]}}}],"schema":"https://github.com/citation-style-language/schema/raw/master/csl-citation.json"}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(Jost, 2007)</w:t>
      </w:r>
      <w:r w:rsidRPr="002579E0">
        <w:rPr>
          <w:rFonts w:ascii="Times New Roman" w:hAnsi="Times New Roman" w:cs="Times New Roman"/>
        </w:rPr>
        <w:fldChar w:fldCharType="end"/>
      </w:r>
      <w:r w:rsidRPr="002579E0">
        <w:rPr>
          <w:rFonts w:ascii="Times New Roman" w:hAnsi="Times New Roman" w:cs="Times New Roman"/>
        </w:rPr>
        <w:t>.</w:t>
      </w:r>
    </w:p>
    <w:p w14:paraId="0A9D13EB" w14:textId="5386790E" w:rsidR="00895912" w:rsidRPr="00491D83" w:rsidRDefault="009F0C02" w:rsidP="004B6806">
      <w:pPr>
        <w:pStyle w:val="Heading3"/>
        <w:spacing w:line="360" w:lineRule="auto"/>
        <w:rPr>
          <w:rFonts w:ascii="Times New Roman" w:hAnsi="Times New Roman" w:cs="Times New Roman"/>
          <w:b w:val="0"/>
          <w:bCs w:val="0"/>
          <w:szCs w:val="24"/>
        </w:rPr>
      </w:pPr>
      <w:bookmarkStart w:id="19" w:name="_Toc165028054"/>
      <w:r w:rsidRPr="00491D83">
        <w:rPr>
          <w:rFonts w:ascii="Times New Roman" w:hAnsi="Times New Roman" w:cs="Times New Roman"/>
          <w:b w:val="0"/>
          <w:bCs w:val="0"/>
          <w:szCs w:val="24"/>
        </w:rPr>
        <w:t xml:space="preserve">Beta </w:t>
      </w:r>
      <w:r w:rsidR="008A6662" w:rsidRPr="00491D83">
        <w:rPr>
          <w:rFonts w:ascii="Times New Roman" w:hAnsi="Times New Roman" w:cs="Times New Roman"/>
          <w:b w:val="0"/>
          <w:bCs w:val="0"/>
          <w:szCs w:val="24"/>
        </w:rPr>
        <w:t>d</w:t>
      </w:r>
      <w:r w:rsidRPr="00491D83">
        <w:rPr>
          <w:rFonts w:ascii="Times New Roman" w:hAnsi="Times New Roman" w:cs="Times New Roman"/>
          <w:b w:val="0"/>
          <w:bCs w:val="0"/>
          <w:szCs w:val="24"/>
        </w:rPr>
        <w:t>iversity</w:t>
      </w:r>
      <w:bookmarkEnd w:id="19"/>
    </w:p>
    <w:p w14:paraId="2313DCA3" w14:textId="7AB0C05D" w:rsidR="00895912" w:rsidRPr="002579E0" w:rsidRDefault="00895912" w:rsidP="004B6806">
      <w:pPr>
        <w:spacing w:line="360" w:lineRule="auto"/>
        <w:ind w:firstLine="720"/>
        <w:rPr>
          <w:rFonts w:ascii="Times New Roman" w:hAnsi="Times New Roman" w:cs="Times New Roman"/>
        </w:rPr>
      </w:pPr>
      <w:r w:rsidRPr="002579E0">
        <w:rPr>
          <w:rFonts w:ascii="Times New Roman" w:hAnsi="Times New Roman" w:cs="Times New Roman"/>
        </w:rPr>
        <w:t xml:space="preserve">Our sampling scheme allows us to examine the relationship between salamanders and their immediate environment reservoir. We used multivariate ordination and variance partitioning to test whether bacterial assemblages were consistently different among salamander species and between aquatic and terrestrial habitats. Ordinations use pairwise dissimilarities, which we estimated corresponding to different orders of Hill Numbers. Sørensen dissimilarity uses the presence-absence of taxa in pairwise communities to represent the fraction of species in one community not shared with the other, corresponding to a </w:t>
      </w:r>
      <w:r w:rsidRPr="002579E0">
        <w:rPr>
          <w:rFonts w:ascii="Times New Roman" w:hAnsi="Times New Roman" w:cs="Times New Roman"/>
          <w:i/>
          <w:iCs/>
        </w:rPr>
        <w:t>q</w:t>
      </w:r>
      <w:r w:rsidRPr="002579E0">
        <w:rPr>
          <w:rFonts w:ascii="Times New Roman" w:hAnsi="Times New Roman" w:cs="Times New Roman"/>
        </w:rPr>
        <w:t>=</w:t>
      </w:r>
      <w:r w:rsidRPr="002579E0">
        <w:rPr>
          <w:rFonts w:ascii="Times New Roman" w:hAnsi="Times New Roman" w:cs="Times New Roman"/>
          <w:i/>
          <w:iCs/>
        </w:rPr>
        <w:t>0</w:t>
      </w:r>
      <w:r w:rsidRPr="002579E0">
        <w:rPr>
          <w:rFonts w:ascii="Times New Roman" w:hAnsi="Times New Roman" w:cs="Times New Roman"/>
        </w:rPr>
        <w:t xml:space="preserve"> </w:t>
      </w:r>
      <w:r w:rsidRPr="002579E0">
        <w:rPr>
          <w:rFonts w:ascii="Times New Roman" w:hAnsi="Times New Roman" w:cs="Times New Roman"/>
        </w:rPr>
        <w:sym w:font="Symbol" w:char="F062"/>
      </w:r>
      <w:r w:rsidRPr="002579E0">
        <w:rPr>
          <w:rFonts w:ascii="Times New Roman" w:hAnsi="Times New Roman" w:cs="Times New Roman"/>
        </w:rPr>
        <w:t>-diversity metric. The 1-Horn index of overlap (</w:t>
      </w:r>
      <w:r w:rsidRPr="002579E0">
        <w:rPr>
          <w:rFonts w:ascii="Times New Roman" w:hAnsi="Times New Roman" w:cs="Times New Roman"/>
          <w:i/>
          <w:iCs/>
        </w:rPr>
        <w:t>q</w:t>
      </w:r>
      <w:r w:rsidRPr="002579E0">
        <w:rPr>
          <w:rFonts w:ascii="Times New Roman" w:hAnsi="Times New Roman" w:cs="Times New Roman"/>
        </w:rPr>
        <w:t>=</w:t>
      </w:r>
      <w:r w:rsidRPr="002579E0">
        <w:rPr>
          <w:rFonts w:ascii="Times New Roman" w:hAnsi="Times New Roman" w:cs="Times New Roman"/>
          <w:i/>
          <w:iCs/>
        </w:rPr>
        <w:t>1</w:t>
      </w:r>
      <w:r w:rsidRPr="002579E0">
        <w:rPr>
          <w:rFonts w:ascii="Times New Roman" w:hAnsi="Times New Roman" w:cs="Times New Roman"/>
        </w:rPr>
        <w:t xml:space="preserve">) considers the relative abundance of each species using Shannon information, while the </w:t>
      </w:r>
      <w:proofErr w:type="spellStart"/>
      <w:r w:rsidRPr="002579E0">
        <w:rPr>
          <w:rFonts w:ascii="Times New Roman" w:hAnsi="Times New Roman" w:cs="Times New Roman"/>
        </w:rPr>
        <w:t>Morisita</w:t>
      </w:r>
      <w:proofErr w:type="spellEnd"/>
      <w:r w:rsidRPr="002579E0">
        <w:rPr>
          <w:rFonts w:ascii="Times New Roman" w:hAnsi="Times New Roman" w:cs="Times New Roman"/>
        </w:rPr>
        <w:t xml:space="preserve">-Horn index for equally weighted communities, is a </w:t>
      </w:r>
      <w:r w:rsidRPr="002579E0">
        <w:rPr>
          <w:rFonts w:ascii="Times New Roman" w:hAnsi="Times New Roman" w:cs="Times New Roman"/>
          <w:i/>
          <w:iCs/>
        </w:rPr>
        <w:t>q</w:t>
      </w:r>
      <w:r w:rsidRPr="002579E0">
        <w:rPr>
          <w:rFonts w:ascii="Times New Roman" w:hAnsi="Times New Roman" w:cs="Times New Roman"/>
        </w:rPr>
        <w:t>=</w:t>
      </w:r>
      <w:r w:rsidRPr="002579E0">
        <w:rPr>
          <w:rFonts w:ascii="Times New Roman" w:hAnsi="Times New Roman" w:cs="Times New Roman"/>
          <w:i/>
          <w:iCs/>
        </w:rPr>
        <w:t>2</w:t>
      </w:r>
      <w:r w:rsidRPr="002579E0">
        <w:rPr>
          <w:rFonts w:ascii="Times New Roman" w:hAnsi="Times New Roman" w:cs="Times New Roman"/>
        </w:rPr>
        <w:t xml:space="preserve"> pairwise </w:t>
      </w:r>
      <w:r w:rsidRPr="002579E0">
        <w:rPr>
          <w:rFonts w:ascii="Times New Roman" w:hAnsi="Times New Roman" w:cs="Times New Roman"/>
        </w:rPr>
        <w:sym w:font="Symbol" w:char="F062"/>
      </w:r>
      <w:r w:rsidRPr="002579E0">
        <w:rPr>
          <w:rFonts w:ascii="Times New Roman" w:hAnsi="Times New Roman" w:cs="Times New Roman"/>
        </w:rPr>
        <w:t xml:space="preserve">-diversity metric reflecting the probability of identity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{"citationID":"A6UJzy1J","properties":{"formattedCitation":"(Hurlbert, 1971)","plainCitation":"(Hurlbert, 1971)","noteIndex":0},"citationItems":[{"id":312,"uris":["http://zotero.org/users/6401767/items/MAKLH4RV"],"itemData":{"id":312,"type":"article-journal","abstract":"The recent literature on species diversity contains many semantic, conceptual, and technical problems. It is suggested that, as a result of these problems, species diversity has become a meaningless concept, that the term be abandoned, and that ecologists take a more critical approach to species-number relations and rely less on information theoretic and other analogies. As multispecific collections of organisms possess numerous statistical properties which conform to the conventional criteria for diversity indices, such collections are not intrinsically arrangeable in linear order along some diversity scale. Several such properties or \"species composition parameters\" having straightforward biological interpretations are presented as alternatives to the diversity approach. The two most basic of these are simply $\\Delta_1= [\\frac{N}{N-1}][^1-\\Sigma_i (\\frac{N_i} {N})^2]$ =the proportion of potential interindividual encounters which is interspecific (as opposed to intraspecific), assuming every individual in the collection can encounter all other individuals, and $E(S_n)= ^\\Sigma_i [1-\\frac{(\\binom{N-N_i}{n})}{(\\binom{N}{n})}]$ =the expected number of species in a sample of n individuals selected at random from a collection containing N individuals, S species, and Ni individuals in the ith species.","container-title":"Ecology","DOI":"10.2307/1934145","ISSN":"0012-9658","issue":"4","note":"publisher: Wiley","page":"577-586","source":"JSTOR","title":"The Nonconcept of Species Diversity: A Critique and Alternative Parameters","title-short":"The Nonconcept of Species Diversity","volume":"52","author":[{"family":"Hurlbert","given":"Stuart H."}],"issued":{"date-parts":[["1971"]]}}}],"schema":"https://github.com/citation-style-language/schema/raw/master/csl-citation.json"}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(Hurlbert, 1971)</w:t>
      </w:r>
      <w:r w:rsidRPr="002579E0">
        <w:rPr>
          <w:rFonts w:ascii="Times New Roman" w:hAnsi="Times New Roman" w:cs="Times New Roman"/>
        </w:rPr>
        <w:fldChar w:fldCharType="end"/>
      </w:r>
      <w:r w:rsidRPr="002579E0">
        <w:rPr>
          <w:rFonts w:ascii="Times New Roman" w:hAnsi="Times New Roman" w:cs="Times New Roman"/>
        </w:rPr>
        <w:t xml:space="preserve">. The Horn contribution to the </w:t>
      </w:r>
      <w:proofErr w:type="spellStart"/>
      <w:r w:rsidRPr="002579E0">
        <w:rPr>
          <w:rFonts w:ascii="Times New Roman" w:hAnsi="Times New Roman" w:cs="Times New Roman"/>
        </w:rPr>
        <w:t>Morisita</w:t>
      </w:r>
      <w:proofErr w:type="spellEnd"/>
      <w:r w:rsidRPr="002579E0">
        <w:rPr>
          <w:rFonts w:ascii="Times New Roman" w:hAnsi="Times New Roman" w:cs="Times New Roman"/>
        </w:rPr>
        <w:t xml:space="preserve"> index keeps the pairwise dissimilarity values constrained between zero and one and all dissimilarities are transformations of multiplicative </w:t>
      </w:r>
      <w:r w:rsidRPr="002579E0">
        <w:rPr>
          <w:rFonts w:ascii="Times New Roman" w:hAnsi="Times New Roman" w:cs="Times New Roman"/>
        </w:rPr>
        <w:sym w:font="Symbol" w:char="F062"/>
      </w:r>
      <w:r w:rsidRPr="002579E0">
        <w:rPr>
          <w:rFonts w:ascii="Times New Roman" w:hAnsi="Times New Roman" w:cs="Times New Roman"/>
        </w:rPr>
        <w:t xml:space="preserv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{"citationID":"pgC48qM6","properties":{"formattedCitation":"(Horn, 1966; Jost, 2006)","plainCitation":"(Horn, 1966; Jost, 2006)","noteIndex":0},"citationItems":[{"id":212,"uris":["http://zotero.org/users/6401767/items/7NDEHVA7"],"itemData":{"id":212,"type":"article-journal","abstract":"Objective, empirical measures of overlap between samples of items distributed proportionally into various qualitative categories are presented and reviewed. These indices of overlap, derived from either probability or information theory, should prove useful to the ecologist in comparative studies of diet, habitat preference, seasonal patterns of abundance, faunal lists, or similar data.","archive":"JSTOR","container-title":"The American Naturalist","ISSN":"0003-0147","issue":"914","note":"publisher: [University of Chicago Press, American Society of Naturalists]","page":"419-424","source":"JSTOR","title":"Measurement of \"Overlap\" in Comparative Ecological Studies","volume":"100","author":[{"family":"Horn","given":"Henry S."}],"issued":{"date-parts":[["1966"]]}}},{"id":216,"uris":["http://zotero.org/users/6401767/items/NEDFA3Z4"],"itemData":{"id":216,"type":"article-journal","container-title":"Oikos","DOI":"10.1111/j.2006.0030-1299.14714.x","ISSN":"00301299, 16000706","issue":"2","language":"en","page":"363-375","source":"DOI.org (Crossref)","title":"Entropy and diversity","volume":"113","author":[{"family":"Jost","given":"Lou"}],"issued":{"date-parts":[["2006",5]]}}}],"schema":"https://github.com/citation-style-language/schema/raw/master/csl-citation.json"}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(Horn, 1966; Jost, 2006)</w:t>
      </w:r>
      <w:r w:rsidRPr="002579E0">
        <w:rPr>
          <w:rFonts w:ascii="Times New Roman" w:hAnsi="Times New Roman" w:cs="Times New Roman"/>
        </w:rPr>
        <w:fldChar w:fldCharType="end"/>
      </w:r>
      <w:r w:rsidRPr="002579E0">
        <w:rPr>
          <w:rFonts w:ascii="Times New Roman" w:hAnsi="Times New Roman" w:cs="Times New Roman"/>
        </w:rPr>
        <w:t>. Dissimilarities were estimated for each rarefaction using the R packages vegan and vegetarian, and the mean dissimilarity across all rarefactions was used for analyses</w:t>
      </w:r>
      <w:r w:rsidR="008F76E5">
        <w:rPr>
          <w:rFonts w:ascii="Times New Roman" w:hAnsi="Times New Roman" w:cs="Times New Roman"/>
        </w:rPr>
        <w:t xml:space="preserve"> </w:t>
      </w:r>
      <w:r w:rsidR="008F76E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{"citationID":"a4rbtmhnoq","properties":{"formattedCitation":"(Charney &amp; Record, 2012; Oksanen et al., 2019)","plainCitation":"(Charney &amp; Record, 2012; Oksanen et al., 2019)","noteIndex":0},"citationItems":[{"id":223,"uris":["http://zotero.org/users/6401767/items/PZENS6MG"],"itemData":{"id":223,"type":"software","title":"vegan: Community Ecology Package.","URL":"https://CRAN.R-project.org/package=vegan","version":"R package version 2.5-6","author":[{"family":"Oksanen","given":"Jari"},{"family":"Blanchet","given":"Guillaume"},{"family":"Friendly","given":"Michael"},{"family":"Legendre","given":"Pierre"},{"family":"McGlinn","given":"Peter R."},{"family":"O'Hara","given":"R.B."},{"family":"Simpson","given":"Gavin L."},{"family":"Solymos","given":"Peter"},{"family":"Stevens","given":"M. Henry H."},{"family":"Szoecs","given":"Eduard"},{"family":"Wagner","given":"Helene"}],"issued":{"date-parts":[["2019"]]}}},{"id":220,"uris":["http://zotero.org/users/6401767/items/F9L85V2D"],"itemData":{"id":220,"type":"software","title":"vegetarian: Jost Diversity Measures for Community","URL":"https://CRAN.R-project.org/package=vegetarian","version":"R package version 1.2","author":[{"family":"Charney","given":"Noah"},{"family":"Record","given":"Sydne"}],"issued":{"date-parts":[["2012"]]}}}],"schema":"https://github.com/citation-style-language/schema/raw/master/csl-citation.json"} </w:instrText>
      </w:r>
      <w:r w:rsidR="008F76E5">
        <w:rPr>
          <w:rFonts w:ascii="Times New Roman" w:hAnsi="Times New Roman" w:cs="Times New Roman"/>
        </w:rPr>
        <w:fldChar w:fldCharType="separate"/>
      </w:r>
      <w:r w:rsidR="004D2321">
        <w:rPr>
          <w:rFonts w:ascii="Times New Roman" w:hAnsi="Times New Roman" w:cs="Times New Roman"/>
        </w:rPr>
        <w:t>(Charney &amp; Record, 2012; Oksanen et al., 2019)</w:t>
      </w:r>
      <w:r w:rsidR="008F76E5">
        <w:rPr>
          <w:rFonts w:ascii="Times New Roman" w:hAnsi="Times New Roman" w:cs="Times New Roman"/>
        </w:rPr>
        <w:fldChar w:fldCharType="end"/>
      </w:r>
      <w:r w:rsidRPr="002579E0">
        <w:rPr>
          <w:rFonts w:ascii="Times New Roman" w:hAnsi="Times New Roman" w:cs="Times New Roman"/>
        </w:rPr>
        <w:t xml:space="preserve">. A phylogenetic-based dissimilarity incorporating relative abundance (Weighted </w:t>
      </w:r>
      <w:proofErr w:type="spellStart"/>
      <w:r w:rsidRPr="002579E0">
        <w:rPr>
          <w:rFonts w:ascii="Times New Roman" w:hAnsi="Times New Roman" w:cs="Times New Roman"/>
        </w:rPr>
        <w:t>Unifrac</w:t>
      </w:r>
      <w:proofErr w:type="spellEnd"/>
      <w:r w:rsidRPr="002579E0">
        <w:rPr>
          <w:rFonts w:ascii="Times New Roman" w:hAnsi="Times New Roman" w:cs="Times New Roman"/>
        </w:rPr>
        <w:t xml:space="preserve">) was also estimated for 100 rarefactions on an </w:t>
      </w:r>
      <w:proofErr w:type="spellStart"/>
      <w:r w:rsidRPr="002579E0">
        <w:rPr>
          <w:rFonts w:ascii="Times New Roman" w:hAnsi="Times New Roman" w:cs="Times New Roman"/>
        </w:rPr>
        <w:t>ultrametric</w:t>
      </w:r>
      <w:proofErr w:type="spellEnd"/>
      <w:r w:rsidRPr="002579E0">
        <w:rPr>
          <w:rFonts w:ascii="Times New Roman" w:hAnsi="Times New Roman" w:cs="Times New Roman"/>
        </w:rPr>
        <w:t xml:space="preserve"> tree, with a mean standard deviation for pairwise comparisons of 0.0004 across all rarefactions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{"citationID":"2fRAUj70","properties":{"formattedCitation":"(Lozupone et al., 2007)","plainCitation":"(Lozupone et al., 2007)","noteIndex":0},"citationItems":[{"id":475,"uris":["http://zotero.org/users/6401767/items/H76ZLMVG"],"itemData":{"id":475,"type":"article-journal","abstract":"The assessment of microbial diversity and distribution is a major concern in environmental microbiology. There are two general approaches for measuring community diversity: quantitative measures, which use the abundance of each taxon, and qualitative measures, which use only the presence/absence of data. Quantitative measures are ideally suited to revealing community differences that are due to changes in relative taxon abundance (e.g., when a particular set of taxa flourish because a limiting nutrient source becomes abundant). Qualitative measures are most informative when communities differ primarily by what can live in them (e.g., at high temperatures), in part because abundance information can obscure significant patterns of variation in which taxa are present. We illustrate these principles using two 16S rRNA-based surveys of microbial populations and two phylogenetic measures of community β diversity: unweighted UniFrac, a qualitative measure, and weighted UniFrac, a new quantitative measure, which we have added to the UniFrac website (http://bmf.colorado.edu/unifrac ). These studies considered the relative influences of mineral chemistry, temperature, and geography on microbial community composition in acidic thermal springs in Yellowstone National Park and the influences of obesity and kinship on microbial community composition in the mouse gut. We show that applying qualitative and quantitative measures to the same data set can lead to dramatically different conclusions about the main factors that structure microbial diversity and can provide insight into the nature of community differences. We also demonstrate that both weighted and unweighted UniFrac measurements are robust to the methods used to build the underlying phylogeny.","container-title":"Applied and Environmental Microbiology","DOI":"10.1128/AEM.01996-06","ISSN":"0099-2240, 1098-5336","issue":"5","journalAbbreviation":"Appl. Environ. Microbiol.","language":"en","license":"Copyright © 2007 American Society for Microbiology","note":"publisher: American Society for Microbiology\nsection: METHODS\nPMID: 17220268","page":"1576-1585","source":"aem.asm.org","title":"Quantitative and Qualitative β Diversity Measures Lead to Different Insights into Factors That Structure Microbial Communities","volume":"73","author":[{"family":"Lozupone","given":"Catherine A."},{"family":"Hamady","given":"Micah"},{"family":"Kelley","given":"Scott T."},{"family":"Knight","given":"Rob"}],"issued":{"date-parts":[["2007",3,1]]}}}],"schema":"https://github.com/citation-style-language/schema/raw/master/csl-citation.json"}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(Lozupone et al., 2007)</w:t>
      </w:r>
      <w:r w:rsidRPr="002579E0">
        <w:rPr>
          <w:rFonts w:ascii="Times New Roman" w:hAnsi="Times New Roman" w:cs="Times New Roman"/>
        </w:rPr>
        <w:fldChar w:fldCharType="end"/>
      </w:r>
      <w:r w:rsidRPr="002579E0">
        <w:rPr>
          <w:rFonts w:ascii="Times New Roman" w:hAnsi="Times New Roman" w:cs="Times New Roman"/>
        </w:rPr>
        <w:t>.</w:t>
      </w:r>
    </w:p>
    <w:p w14:paraId="10674E74" w14:textId="46DD96D3" w:rsidR="00895912" w:rsidRPr="002579E0" w:rsidRDefault="00895912" w:rsidP="002579E0">
      <w:pPr>
        <w:spacing w:line="360" w:lineRule="auto"/>
        <w:ind w:firstLine="720"/>
        <w:rPr>
          <w:rFonts w:ascii="Times New Roman" w:hAnsi="Times New Roman" w:cs="Times New Roman"/>
        </w:rPr>
      </w:pPr>
      <w:r w:rsidRPr="002579E0">
        <w:rPr>
          <w:rFonts w:ascii="Times New Roman" w:hAnsi="Times New Roman" w:cs="Times New Roman"/>
        </w:rPr>
        <w:t>We used variance partitioning and distance-based redundancy analyses (</w:t>
      </w:r>
      <w:proofErr w:type="spellStart"/>
      <w:r w:rsidRPr="002579E0">
        <w:rPr>
          <w:rFonts w:ascii="Times New Roman" w:hAnsi="Times New Roman" w:cs="Times New Roman"/>
        </w:rPr>
        <w:t>dbRDA</w:t>
      </w:r>
      <w:proofErr w:type="spellEnd"/>
      <w:r w:rsidRPr="002579E0">
        <w:rPr>
          <w:rFonts w:ascii="Times New Roman" w:hAnsi="Times New Roman" w:cs="Times New Roman"/>
        </w:rPr>
        <w:t>) in vegan to assess clustering patterns and model performance. Variance partitioning assesses the explanatory power of each variable independently and tandemly via coefficients of determination (adjusted r</w:t>
      </w:r>
      <w:r w:rsidRPr="002579E0">
        <w:rPr>
          <w:rFonts w:ascii="Times New Roman" w:hAnsi="Times New Roman" w:cs="Times New Roman"/>
          <w:vertAlign w:val="superscript"/>
        </w:rPr>
        <w:t>2</w:t>
      </w:r>
      <w:r w:rsidRPr="002579E0">
        <w:rPr>
          <w:rFonts w:ascii="Times New Roman" w:hAnsi="Times New Roman" w:cs="Times New Roman"/>
        </w:rPr>
        <w:t xml:space="preserve">), which can then be modeled and tested via constrained </w:t>
      </w:r>
      <w:proofErr w:type="spellStart"/>
      <w:r w:rsidRPr="002579E0">
        <w:rPr>
          <w:rFonts w:ascii="Times New Roman" w:hAnsi="Times New Roman" w:cs="Times New Roman"/>
        </w:rPr>
        <w:t>dbRDA</w:t>
      </w:r>
      <w:proofErr w:type="spellEnd"/>
      <w:r w:rsidRPr="002579E0">
        <w:rPr>
          <w:rFonts w:ascii="Times New Roman" w:hAnsi="Times New Roman" w:cs="Times New Roman"/>
        </w:rPr>
        <w:t xml:space="preserve"> and permutation tests. Differences between salamanders and cover object samples was assessed first before breaking up the dataset to only salamanders or only cover object samples to test the effects of habitat and species (or microhabitat) within each dataset. Hypothesis testing was conducted using an </w:t>
      </w:r>
      <w:proofErr w:type="spellStart"/>
      <w:r w:rsidRPr="002579E0">
        <w:rPr>
          <w:rFonts w:ascii="Times New Roman" w:hAnsi="Times New Roman" w:cs="Times New Roman"/>
        </w:rPr>
        <w:t>anova.cca</w:t>
      </w:r>
      <w:proofErr w:type="spellEnd"/>
      <w:r w:rsidRPr="002579E0">
        <w:rPr>
          <w:rFonts w:ascii="Times New Roman" w:hAnsi="Times New Roman" w:cs="Times New Roman"/>
        </w:rPr>
        <w:t xml:space="preserve">, with 1,000 permutations one level below the tested variable. </w:t>
      </w:r>
    </w:p>
    <w:p w14:paraId="5BF7BE7F" w14:textId="46B7BAA4" w:rsidR="00895912" w:rsidRPr="00491D83" w:rsidRDefault="00895912" w:rsidP="004B6806">
      <w:pPr>
        <w:pStyle w:val="Heading3"/>
        <w:spacing w:line="360" w:lineRule="auto"/>
        <w:rPr>
          <w:rFonts w:ascii="Times New Roman" w:hAnsi="Times New Roman" w:cs="Times New Roman"/>
          <w:b w:val="0"/>
          <w:bCs w:val="0"/>
        </w:rPr>
      </w:pPr>
      <w:bookmarkStart w:id="20" w:name="_Toc165028055"/>
      <w:r w:rsidRPr="00491D83">
        <w:rPr>
          <w:rFonts w:ascii="Times New Roman" w:hAnsi="Times New Roman" w:cs="Times New Roman"/>
          <w:b w:val="0"/>
          <w:bCs w:val="0"/>
        </w:rPr>
        <w:lastRenderedPageBreak/>
        <w:t xml:space="preserve">Alpha </w:t>
      </w:r>
      <w:r w:rsidR="008A6662" w:rsidRPr="00491D83">
        <w:rPr>
          <w:rFonts w:ascii="Times New Roman" w:hAnsi="Times New Roman" w:cs="Times New Roman"/>
          <w:b w:val="0"/>
          <w:bCs w:val="0"/>
        </w:rPr>
        <w:t>d</w:t>
      </w:r>
      <w:r w:rsidRPr="00491D83">
        <w:rPr>
          <w:rFonts w:ascii="Times New Roman" w:hAnsi="Times New Roman" w:cs="Times New Roman"/>
          <w:b w:val="0"/>
          <w:bCs w:val="0"/>
        </w:rPr>
        <w:t>iversity</w:t>
      </w:r>
      <w:bookmarkEnd w:id="20"/>
    </w:p>
    <w:p w14:paraId="72F0D41B" w14:textId="2716295B" w:rsidR="007754C0" w:rsidRPr="002579E0" w:rsidRDefault="00895912" w:rsidP="007754C0">
      <w:pPr>
        <w:spacing w:line="360" w:lineRule="auto"/>
        <w:ind w:firstLine="720"/>
        <w:rPr>
          <w:rFonts w:ascii="Times New Roman" w:hAnsi="Times New Roman" w:cs="Times New Roman"/>
        </w:rPr>
      </w:pPr>
      <w:r w:rsidRPr="002579E0">
        <w:rPr>
          <w:rFonts w:ascii="Times New Roman" w:hAnsi="Times New Roman" w:cs="Times New Roman"/>
        </w:rPr>
        <w:t xml:space="preserve">To test the </w:t>
      </w:r>
      <w:r w:rsidR="008E2678">
        <w:rPr>
          <w:rFonts w:ascii="Times New Roman" w:hAnsi="Times New Roman" w:cs="Times New Roman"/>
        </w:rPr>
        <w:t>prediction</w:t>
      </w:r>
      <w:r w:rsidRPr="002579E0">
        <w:rPr>
          <w:rFonts w:ascii="Times New Roman" w:hAnsi="Times New Roman" w:cs="Times New Roman"/>
        </w:rPr>
        <w:t xml:space="preserve"> that host-associated assemblages are less diverse than free-living microbial communities, we compared Hill numbers at three orders of </w:t>
      </w:r>
      <w:r w:rsidRPr="002579E0">
        <w:rPr>
          <w:rFonts w:ascii="Times New Roman" w:hAnsi="Times New Roman" w:cs="Times New Roman"/>
          <w:i/>
          <w:iCs/>
        </w:rPr>
        <w:t>q</w:t>
      </w:r>
      <w:r w:rsidRPr="002579E0">
        <w:rPr>
          <w:rFonts w:ascii="Times New Roman" w:hAnsi="Times New Roman" w:cs="Times New Roman"/>
        </w:rPr>
        <w:t xml:space="preserve">. At </w:t>
      </w:r>
      <w:r w:rsidRPr="002579E0">
        <w:rPr>
          <w:rFonts w:ascii="Times New Roman" w:hAnsi="Times New Roman" w:cs="Times New Roman"/>
          <w:i/>
          <w:iCs/>
        </w:rPr>
        <w:t>q=0</w:t>
      </w:r>
      <w:r w:rsidRPr="002579E0">
        <w:rPr>
          <w:rFonts w:ascii="Times New Roman" w:hAnsi="Times New Roman" w:cs="Times New Roman"/>
        </w:rPr>
        <w:t xml:space="preserve">, the effective number of species is the estimated richness of a sample (given a rarefaction sample size). At </w:t>
      </w:r>
      <w:r w:rsidRPr="002579E0">
        <w:rPr>
          <w:rFonts w:ascii="Times New Roman" w:hAnsi="Times New Roman" w:cs="Times New Roman"/>
          <w:i/>
          <w:iCs/>
        </w:rPr>
        <w:t>q = 1</w:t>
      </w:r>
      <w:r w:rsidRPr="002579E0">
        <w:rPr>
          <w:rFonts w:ascii="Times New Roman" w:hAnsi="Times New Roman" w:cs="Times New Roman"/>
        </w:rPr>
        <w:t xml:space="preserve">, the Hill number is the exponential of Shannon entropy (a diversity measure accounting for relative abundance), while the inverse of Simpson’s concentration index is the Hill number at </w:t>
      </w:r>
      <w:r w:rsidRPr="002579E0">
        <w:rPr>
          <w:rFonts w:ascii="Times New Roman" w:hAnsi="Times New Roman" w:cs="Times New Roman"/>
          <w:i/>
          <w:iCs/>
        </w:rPr>
        <w:t>q=2</w:t>
      </w:r>
      <w:r w:rsidRPr="002579E0">
        <w:rPr>
          <w:rFonts w:ascii="Times New Roman" w:hAnsi="Times New Roman" w:cs="Times New Roman"/>
        </w:rPr>
        <w:t xml:space="preserve"> (a scaled probability of “interspecific encounter”). The changes in diversity between each additional </w:t>
      </w:r>
      <w:r w:rsidRPr="002579E0">
        <w:rPr>
          <w:rFonts w:ascii="Times New Roman" w:hAnsi="Times New Roman" w:cs="Times New Roman"/>
          <w:i/>
          <w:iCs/>
        </w:rPr>
        <w:t>q</w:t>
      </w:r>
      <w:r w:rsidRPr="002579E0">
        <w:rPr>
          <w:rFonts w:ascii="Times New Roman" w:hAnsi="Times New Roman" w:cs="Times New Roman"/>
        </w:rPr>
        <w:t xml:space="preserve"> can be used to evaluate the evenness of species abundances within a given sample. We estimated alpha diversity at </w:t>
      </w:r>
      <w:r w:rsidRPr="002579E0">
        <w:rPr>
          <w:rFonts w:ascii="Times New Roman" w:hAnsi="Times New Roman" w:cs="Times New Roman"/>
          <w:i/>
          <w:iCs/>
        </w:rPr>
        <w:t>q=0</w:t>
      </w:r>
      <w:r w:rsidRPr="002579E0">
        <w:rPr>
          <w:rFonts w:ascii="Times New Roman" w:hAnsi="Times New Roman" w:cs="Times New Roman"/>
        </w:rPr>
        <w:t xml:space="preserve">, </w:t>
      </w:r>
      <w:r w:rsidRPr="002579E0">
        <w:rPr>
          <w:rFonts w:ascii="Times New Roman" w:hAnsi="Times New Roman" w:cs="Times New Roman"/>
          <w:i/>
          <w:iCs/>
        </w:rPr>
        <w:t>q=1</w:t>
      </w:r>
      <w:r w:rsidRPr="002579E0">
        <w:rPr>
          <w:rFonts w:ascii="Times New Roman" w:hAnsi="Times New Roman" w:cs="Times New Roman"/>
        </w:rPr>
        <w:t xml:space="preserve">, and </w:t>
      </w:r>
      <w:r w:rsidRPr="002579E0">
        <w:rPr>
          <w:rFonts w:ascii="Times New Roman" w:hAnsi="Times New Roman" w:cs="Times New Roman"/>
          <w:i/>
          <w:iCs/>
        </w:rPr>
        <w:t>q=2</w:t>
      </w:r>
      <w:r w:rsidRPr="002579E0">
        <w:rPr>
          <w:rFonts w:ascii="Times New Roman" w:hAnsi="Times New Roman" w:cs="Times New Roman"/>
        </w:rPr>
        <w:t xml:space="preserve"> for each rarefaction and compared group (salamander, aquatic/terrestrial environment) alpha diversity estimations using a Dunn’s test in the </w:t>
      </w:r>
      <w:proofErr w:type="spellStart"/>
      <w:r w:rsidRPr="00E50C1C">
        <w:rPr>
          <w:rFonts w:ascii="Times New Roman" w:hAnsi="Times New Roman" w:cs="Times New Roman"/>
          <w:i/>
          <w:iCs/>
        </w:rPr>
        <w:t>rstatix</w:t>
      </w:r>
      <w:proofErr w:type="spellEnd"/>
      <w:r w:rsidRPr="002579E0">
        <w:rPr>
          <w:rFonts w:ascii="Times New Roman" w:hAnsi="Times New Roman" w:cs="Times New Roman"/>
        </w:rPr>
        <w:t xml:space="preserve"> package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{"citationID":"wVlIGG8G","properties":{"formattedCitation":"(Kassambara, 2020)","plainCitation":"(Kassambara, 2020)","noteIndex":0},"citationItems":[{"id":226,"uris":["http://zotero.org/users/6401767/items/L9QJBQ9K"],"itemData":{"id":226,"type":"software","title":"rstatix: Pipe-Friendly Framework for Basic Statistical Tests.","URL":"https://CRAN.R-project.org/package=rstatix","version":"R package version 0.6.0","author":[{"family":"Kassambara","given":"Alboukadel"}],"issued":{"date-parts":[["2020"]]}}}],"schema":"https://github.com/citation-style-language/schema/raw/master/csl-citation.json"}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(Kassambara, 2020)</w:t>
      </w:r>
      <w:r w:rsidRPr="002579E0">
        <w:rPr>
          <w:rFonts w:ascii="Times New Roman" w:hAnsi="Times New Roman" w:cs="Times New Roman"/>
        </w:rPr>
        <w:fldChar w:fldCharType="end"/>
      </w:r>
      <w:r w:rsidRPr="002579E0">
        <w:rPr>
          <w:rFonts w:ascii="Times New Roman" w:hAnsi="Times New Roman" w:cs="Times New Roman"/>
        </w:rPr>
        <w:t xml:space="preserve">. </w:t>
      </w:r>
    </w:p>
    <w:p w14:paraId="3DD1E8B6" w14:textId="0D9C1B17" w:rsidR="00895912" w:rsidRPr="00491D83" w:rsidRDefault="00895912" w:rsidP="004B6806">
      <w:pPr>
        <w:pStyle w:val="Heading3"/>
        <w:spacing w:line="360" w:lineRule="auto"/>
        <w:rPr>
          <w:rFonts w:ascii="Times New Roman" w:hAnsi="Times New Roman" w:cs="Times New Roman"/>
          <w:b w:val="0"/>
          <w:bCs w:val="0"/>
          <w:iCs/>
        </w:rPr>
      </w:pPr>
      <w:bookmarkStart w:id="21" w:name="_Toc165028056"/>
      <w:r w:rsidRPr="00491D83">
        <w:rPr>
          <w:rFonts w:ascii="Times New Roman" w:hAnsi="Times New Roman" w:cs="Times New Roman"/>
          <w:b w:val="0"/>
          <w:bCs w:val="0"/>
          <w:iCs/>
        </w:rPr>
        <w:t xml:space="preserve">Indicator </w:t>
      </w:r>
      <w:r w:rsidR="008A6662" w:rsidRPr="00491D83">
        <w:rPr>
          <w:rFonts w:ascii="Times New Roman" w:hAnsi="Times New Roman" w:cs="Times New Roman"/>
          <w:b w:val="0"/>
          <w:bCs w:val="0"/>
          <w:iCs/>
        </w:rPr>
        <w:t>s</w:t>
      </w:r>
      <w:r w:rsidRPr="00491D83">
        <w:rPr>
          <w:rFonts w:ascii="Times New Roman" w:hAnsi="Times New Roman" w:cs="Times New Roman"/>
          <w:b w:val="0"/>
          <w:bCs w:val="0"/>
          <w:iCs/>
        </w:rPr>
        <w:t xml:space="preserve">pecies </w:t>
      </w:r>
      <w:r w:rsidR="008A6662" w:rsidRPr="00491D83">
        <w:rPr>
          <w:rFonts w:ascii="Times New Roman" w:hAnsi="Times New Roman" w:cs="Times New Roman"/>
          <w:b w:val="0"/>
          <w:bCs w:val="0"/>
          <w:iCs/>
        </w:rPr>
        <w:t>a</w:t>
      </w:r>
      <w:r w:rsidRPr="00491D83">
        <w:rPr>
          <w:rFonts w:ascii="Times New Roman" w:hAnsi="Times New Roman" w:cs="Times New Roman"/>
          <w:b w:val="0"/>
          <w:bCs w:val="0"/>
          <w:iCs/>
        </w:rPr>
        <w:t xml:space="preserve">nalysis and </w:t>
      </w:r>
      <w:r w:rsidR="008A6662" w:rsidRPr="00491D83">
        <w:rPr>
          <w:rFonts w:ascii="Times New Roman" w:hAnsi="Times New Roman" w:cs="Times New Roman"/>
          <w:b w:val="0"/>
          <w:bCs w:val="0"/>
          <w:iCs/>
        </w:rPr>
        <w:t>c</w:t>
      </w:r>
      <w:r w:rsidRPr="00491D83">
        <w:rPr>
          <w:rFonts w:ascii="Times New Roman" w:hAnsi="Times New Roman" w:cs="Times New Roman"/>
          <w:b w:val="0"/>
          <w:bCs w:val="0"/>
          <w:iCs/>
        </w:rPr>
        <w:t xml:space="preserve">ommunity </w:t>
      </w:r>
      <w:r w:rsidR="008A6662" w:rsidRPr="00491D83">
        <w:rPr>
          <w:rFonts w:ascii="Times New Roman" w:hAnsi="Times New Roman" w:cs="Times New Roman"/>
          <w:b w:val="0"/>
          <w:bCs w:val="0"/>
          <w:iCs/>
        </w:rPr>
        <w:t>c</w:t>
      </w:r>
      <w:r w:rsidRPr="00491D83">
        <w:rPr>
          <w:rFonts w:ascii="Times New Roman" w:hAnsi="Times New Roman" w:cs="Times New Roman"/>
          <w:b w:val="0"/>
          <w:bCs w:val="0"/>
          <w:iCs/>
        </w:rPr>
        <w:t>omposition</w:t>
      </w:r>
      <w:bookmarkEnd w:id="21"/>
    </w:p>
    <w:p w14:paraId="3AF78C87" w14:textId="2BB063C4" w:rsidR="007754C0" w:rsidRDefault="00895912" w:rsidP="007754C0">
      <w:pPr>
        <w:spacing w:line="360" w:lineRule="auto"/>
        <w:ind w:firstLine="720"/>
        <w:rPr>
          <w:rFonts w:ascii="Times New Roman" w:hAnsi="Times New Roman" w:cs="Times New Roman"/>
        </w:rPr>
      </w:pPr>
      <w:r w:rsidRPr="002579E0">
        <w:rPr>
          <w:rFonts w:ascii="Times New Roman" w:hAnsi="Times New Roman" w:cs="Times New Roman"/>
        </w:rPr>
        <w:t xml:space="preserve">We used an indicator species analysis to identify sequence variants (ASVs) with strong association with a group (salamanders, aquatic environments, and terrestrial environments)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{"citationID":"DzpoY5Zy","properties":{"formattedCitation":"(De C\\uc0\\u225{}ceres et al., 2010)","plainCitation":"(De Cáceres et al., 2010)","noteIndex":0},"citationItems":[{"id":482,"uris":["http://zotero.org/users/6401767/items/5TZG2BF8"],"itemData":{"id":482,"type":"article-journal","abstract":"Indicator species are species that are used as ecological indicators of community or habitat types, environmental conditions, or environmental changes. In order to determine indicator species, the characteristic to be predicted is represented in the form of a classification of the sites, which is compared to the patterns of distribution of the species found at the sites. Indicator species analysis should take into account the fact that species have different niche breadths: if a species is related to the conditions prevailing in two or more groups of sites, an indicator species analysis undertaken on individual groups of sites may fail to reveal this association. In this paper, we suggest improving indicator species analysis by considering all possible combinations of groups of sites and selecting the combination for which the species can be best used as indicator. When using a correlation index, such as the point-biserial correlation, the method yields the combination where the difference between the observed and expected abundance/frequency of the species is the largest. When an indicator value index (IndVal) is used, the method provides the set of site-groups that best matches the observed distribution pattern of the species. We illustrate the advantages of the method in three different examples. Consideration of combinations of groups of sites provides an extra flexibility to qualitatively model the habitat preferences of the species of interest. The method also allows users to cross multiple classifications of the same sites, increasing the amount of information resulting from the analysis. When applied to community types, it allows one to distinguish those species that characterize individual types from those that characterize the relationships between them. This distinction is useful to determine the number of types that maximizes the number of indicator species.","container-title":"Oikos","ISSN":"0030-1299","issue":"10","note":"publisher: Wiley","page":"1674-1684","source":"JSTOR","title":"Improving indicator species analysis by combining groups of sites","volume":"119","author":[{"family":"De Cáceres","given":"Miquel"},{"family":"Legendre","given":"Pierre"},{"family":"Moretti","given":"Marco"}],"issued":{"date-parts":[["2010"]]}}}],"schema":"https://github.com/citation-style-language/schema/raw/master/csl-citation.json"} </w:instrText>
      </w:r>
      <w:r w:rsidRPr="002579E0">
        <w:rPr>
          <w:rFonts w:ascii="Times New Roman" w:hAnsi="Times New Roman" w:cs="Times New Roman"/>
        </w:rPr>
        <w:fldChar w:fldCharType="separate"/>
      </w:r>
      <w:r w:rsidR="004D2321" w:rsidRPr="004D2321">
        <w:rPr>
          <w:rFonts w:ascii="Times New Roman" w:hAnsi="Times New Roman" w:cs="Times New Roman"/>
        </w:rPr>
        <w:t>(De Cáceres et al., 2010)</w:t>
      </w:r>
      <w:r w:rsidRPr="002579E0">
        <w:rPr>
          <w:rFonts w:ascii="Times New Roman" w:hAnsi="Times New Roman" w:cs="Times New Roman"/>
        </w:rPr>
        <w:fldChar w:fldCharType="end"/>
      </w:r>
      <w:r w:rsidRPr="002579E0">
        <w:rPr>
          <w:rFonts w:ascii="Times New Roman" w:hAnsi="Times New Roman" w:cs="Times New Roman"/>
        </w:rPr>
        <w:t xml:space="preserve">. ASVs were used to provide a finer resolution in identifying microbes associated with each salamander species or habitat. To do this, we rarefied our dataset 1,000 times and evaluated the distribution of mean point-biserial coefficients for each sequence. We then identified top candidates whose average point-biserial correlation coefficient for salamanders was equal or higher than 0.2. To assess species specificity and salamander specificity across sites, we used the </w:t>
      </w:r>
      <w:r w:rsidR="003E17A0">
        <w:rPr>
          <w:rFonts w:ascii="Times New Roman" w:hAnsi="Times New Roman" w:cs="Times New Roman"/>
        </w:rPr>
        <w:t>‘</w:t>
      </w:r>
      <w:proofErr w:type="spellStart"/>
      <w:r w:rsidRPr="002579E0">
        <w:rPr>
          <w:rFonts w:ascii="Times New Roman" w:hAnsi="Times New Roman" w:cs="Times New Roman"/>
        </w:rPr>
        <w:t>multipatt</w:t>
      </w:r>
      <w:proofErr w:type="spellEnd"/>
      <w:r w:rsidR="003E17A0">
        <w:rPr>
          <w:rFonts w:ascii="Times New Roman" w:hAnsi="Times New Roman" w:cs="Times New Roman"/>
        </w:rPr>
        <w:t>’</w:t>
      </w:r>
      <w:r w:rsidRPr="002579E0">
        <w:rPr>
          <w:rFonts w:ascii="Times New Roman" w:hAnsi="Times New Roman" w:cs="Times New Roman"/>
        </w:rPr>
        <w:t xml:space="preserve"> function, which allows for individual and multiple group attributions of indicators identified using the point biserial correlation coefficient. Finally, to investigate taxonomic distributions in our samples, we constructed composition plots for the top ten phyla as well as the top 20 most abundant families. All visualizations were made in R v4.2.0 using the </w:t>
      </w:r>
      <w:proofErr w:type="spellStart"/>
      <w:r w:rsidRPr="002579E0">
        <w:rPr>
          <w:rFonts w:ascii="Times New Roman" w:hAnsi="Times New Roman" w:cs="Times New Roman"/>
        </w:rPr>
        <w:t>MicEco</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ggpubr</w:t>
      </w:r>
      <w:proofErr w:type="spellEnd"/>
      <w:r w:rsidRPr="002579E0">
        <w:rPr>
          <w:rFonts w:ascii="Times New Roman" w:hAnsi="Times New Roman" w:cs="Times New Roman"/>
        </w:rPr>
        <w:t xml:space="preserve">, and </w:t>
      </w:r>
      <w:proofErr w:type="spellStart"/>
      <w:r w:rsidRPr="002579E0">
        <w:rPr>
          <w:rFonts w:ascii="Times New Roman" w:hAnsi="Times New Roman" w:cs="Times New Roman"/>
        </w:rPr>
        <w:t>phyloseq</w:t>
      </w:r>
      <w:proofErr w:type="spellEnd"/>
      <w:r w:rsidRPr="002579E0">
        <w:rPr>
          <w:rFonts w:ascii="Times New Roman" w:hAnsi="Times New Roman" w:cs="Times New Roman"/>
        </w:rPr>
        <w:t xml:space="preserve"> packages </w:t>
      </w:r>
      <w:r w:rsidR="008F76E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{"citationID":"a4eqn0mep2","properties":{"formattedCitation":"(Kassambara, Alboukadel, 2020; McMurdie, Paul J. &amp; Holmes, 2013; R Core Team, 2022; Russel, 2020)","plainCitation":"(Kassambara, Alboukadel, 2020; McMurdie, Paul J. &amp; Holmes, 2013; R Core Team, 2022; Russel, 2020)","noteIndex":0},"citationItems":[{"id":227,"uris":["http://zotero.org/users/6401767/items/58D4ERFR"],"itemData":{"id":227,"type":"software","title":"ggpubr: 'ggplot2' Based Publication Ready Plots.","URL":"https://CRAN.R-project.org/package=ggpubr","version":"0.4.0","author":[{"family":"Kassambara, Alboukadel","given":""}],"issued":{"date-parts":[["2020"]]}}},{"id":224,"uris":["http://zotero.org/users/6401767/items/GFHFWGD4"],"itemData":{"id":224,"type":"software","title":"phyloseq: An R package for reproducible interactive analysis and graphics of microbiome census data.","URL":"PLoS ONE 8(4):e61217","author":[{"family":"McMurdie, Paul J.","given":""},{"family":"Holmes","given":"Susan P."}],"issued":{"date-parts":[["2013"]]}}},{"id":72,"uris":["http://zotero.org/users/6401767/items/EUBIKDIJ"],"itemData":{"id":72,"type":"software","event-place":"Vienna, Austria","publisher":"R Foundation for Statistical Computing","publisher-place":"Vienna, Austria","title":"R: A language and environment for statistical computing.","URL":"https://www.R-project.org/","author":[{"family":"R Core Team","given":""}],"issued":{"date-parts":[["2022"]]}}},{"id":222,"uris":["http://zotero.org/users/6401767/items/S6PUSH5K"],"itemData":{"id":222,"type":"software","title":"MicEco: Various functions for microbial community data. R package","version":"0.9.9","author":[{"family":"Russel","given":"Jakob"}],"issued":{"date-parts":[["2020"]]}}}],"schema":"https://github.com/citation-style-language/schema/raw/master/csl-citation.json"} </w:instrText>
      </w:r>
      <w:r w:rsidR="008F76E5">
        <w:rPr>
          <w:rFonts w:ascii="Times New Roman" w:hAnsi="Times New Roman" w:cs="Times New Roman"/>
        </w:rPr>
        <w:fldChar w:fldCharType="separate"/>
      </w:r>
      <w:r w:rsidR="004D2321">
        <w:rPr>
          <w:rFonts w:ascii="Times New Roman" w:hAnsi="Times New Roman" w:cs="Times New Roman"/>
        </w:rPr>
        <w:t>(Kassambara, Alboukadel, 2020; McMurdie, Paul J. &amp; Holmes, 2013; R Core Team, 2022; Russel, 2020)</w:t>
      </w:r>
      <w:r w:rsidR="008F76E5">
        <w:rPr>
          <w:rFonts w:ascii="Times New Roman" w:hAnsi="Times New Roman" w:cs="Times New Roman"/>
        </w:rPr>
        <w:fldChar w:fldCharType="end"/>
      </w:r>
      <w:r w:rsidRPr="002579E0">
        <w:rPr>
          <w:rFonts w:ascii="Times New Roman" w:hAnsi="Times New Roman" w:cs="Times New Roman"/>
        </w:rPr>
        <w:t>.</w:t>
      </w:r>
    </w:p>
    <w:p w14:paraId="377DE07D" w14:textId="77777777" w:rsidR="00FB3A19" w:rsidRPr="007754C0" w:rsidRDefault="00FB3A19" w:rsidP="00FB3A19">
      <w:pPr>
        <w:pStyle w:val="Heading2"/>
        <w:rPr>
          <w:rFonts w:ascii="Times New Roman" w:hAnsi="Times New Roman" w:cs="Times New Roman"/>
          <w:sz w:val="24"/>
          <w:szCs w:val="24"/>
        </w:rPr>
      </w:pPr>
      <w:bookmarkStart w:id="22" w:name="_Toc165028057"/>
      <w:r w:rsidRPr="002579E0">
        <w:rPr>
          <w:rFonts w:ascii="Times New Roman" w:hAnsi="Times New Roman" w:cs="Times New Roman"/>
        </w:rPr>
        <w:t>Results</w:t>
      </w:r>
      <w:bookmarkEnd w:id="22"/>
    </w:p>
    <w:p w14:paraId="5F161680" w14:textId="77777777" w:rsidR="00FB3A19" w:rsidRPr="00491D83" w:rsidRDefault="00FB3A19" w:rsidP="00FB3A19">
      <w:pPr>
        <w:pStyle w:val="Heading3"/>
        <w:rPr>
          <w:rFonts w:ascii="Times New Roman" w:hAnsi="Times New Roman" w:cs="Times New Roman"/>
          <w:b w:val="0"/>
          <w:bCs w:val="0"/>
        </w:rPr>
      </w:pPr>
      <w:bookmarkStart w:id="23" w:name="_Toc165028058"/>
      <w:r w:rsidRPr="00491D83">
        <w:rPr>
          <w:rFonts w:ascii="Times New Roman" w:hAnsi="Times New Roman" w:cs="Times New Roman"/>
          <w:b w:val="0"/>
          <w:bCs w:val="0"/>
        </w:rPr>
        <w:t xml:space="preserve">Heterogeneity is high for salamander </w:t>
      </w:r>
      <w:proofErr w:type="gramStart"/>
      <w:r w:rsidRPr="00491D83">
        <w:rPr>
          <w:rFonts w:ascii="Times New Roman" w:hAnsi="Times New Roman" w:cs="Times New Roman"/>
          <w:b w:val="0"/>
          <w:bCs w:val="0"/>
        </w:rPr>
        <w:t>hosts</w:t>
      </w:r>
      <w:bookmarkEnd w:id="23"/>
      <w:proofErr w:type="gramEnd"/>
    </w:p>
    <w:p w14:paraId="78505E12" w14:textId="2DBCC16C" w:rsidR="00FB3A19" w:rsidRPr="00FB3A19" w:rsidRDefault="00FB3A19" w:rsidP="00FB3A19">
      <w:r>
        <w:tab/>
      </w:r>
      <w:r w:rsidRPr="002579E0">
        <w:rPr>
          <w:rFonts w:ascii="Times New Roman" w:hAnsi="Times New Roman" w:cs="Times New Roman"/>
        </w:rPr>
        <w:t xml:space="preserve">Using 97% clustered OTUs, we assessed dissimilarities at three different levels </w:t>
      </w:r>
      <w:proofErr w:type="gramStart"/>
      <w:r w:rsidRPr="002579E0">
        <w:rPr>
          <w:rFonts w:ascii="Times New Roman" w:hAnsi="Times New Roman" w:cs="Times New Roman"/>
        </w:rPr>
        <w:t>pertaining</w:t>
      </w:r>
      <w:proofErr w:type="gramEnd"/>
    </w:p>
    <w:p w14:paraId="12363459" w14:textId="77777777" w:rsidR="00FB3A19" w:rsidRDefault="00FB3A19" w:rsidP="007754C0">
      <w:pPr>
        <w:spacing w:line="360" w:lineRule="auto"/>
        <w:ind w:firstLine="720"/>
        <w:rPr>
          <w:rFonts w:ascii="Times New Roman" w:hAnsi="Times New Roman" w:cs="Times New Roman"/>
        </w:rPr>
      </w:pPr>
    </w:p>
    <w:p w14:paraId="27BC2889" w14:textId="061B5EA8" w:rsidR="00661002" w:rsidRDefault="004534B5" w:rsidP="004D2321">
      <w:pPr>
        <w:spacing w:line="360" w:lineRule="auto"/>
        <w:rPr>
          <w:rFonts w:ascii="Times New Roman" w:hAnsi="Times New Roman" w:cs="Times New Roman"/>
        </w:rPr>
      </w:pPr>
      <w:r w:rsidRPr="002579E0">
        <w:rPr>
          <w:rFonts w:ascii="Times New Roman" w:hAnsi="Times New Roman" w:cs="Times New Roman"/>
        </w:rPr>
        <w:lastRenderedPageBreak/>
        <w:t>to our research questions. The first assessed differences between salamanders and their environment (cover objects), while the other two were conducted on split datasets to analyze habitat and species on only cover objects and only salamanders. For each level tested, we visualized data dispersion using unconstrained ordinations (</w:t>
      </w:r>
      <w:r w:rsidRPr="002579E0">
        <w:rPr>
          <w:rFonts w:ascii="Times New Roman" w:hAnsi="Times New Roman" w:cs="Times New Roman"/>
          <w:b/>
          <w:bCs/>
        </w:rPr>
        <w:t>Fig. 1</w:t>
      </w:r>
      <w:r w:rsidRPr="002579E0">
        <w:rPr>
          <w:rFonts w:ascii="Times New Roman" w:hAnsi="Times New Roman" w:cs="Times New Roman"/>
        </w:rPr>
        <w:t xml:space="preserve"> for Horn Dissimilarity). We </w:t>
      </w:r>
    </w:p>
    <w:p w14:paraId="34C7708B" w14:textId="05D9CAA4" w:rsidR="004534B5" w:rsidRPr="002579E0" w:rsidRDefault="004534B5" w:rsidP="004D2321">
      <w:pPr>
        <w:spacing w:line="360" w:lineRule="auto"/>
        <w:rPr>
          <w:rFonts w:ascii="Times New Roman" w:hAnsi="Times New Roman" w:cs="Times New Roman"/>
        </w:rPr>
      </w:pPr>
      <w:r w:rsidRPr="002579E0">
        <w:rPr>
          <w:rFonts w:ascii="Times New Roman" w:hAnsi="Times New Roman" w:cs="Times New Roman"/>
        </w:rPr>
        <w:t>then used variance partitioning to assess the explanatory power of each variable (</w:t>
      </w:r>
      <w:r w:rsidRPr="002579E0">
        <w:rPr>
          <w:rFonts w:ascii="Times New Roman" w:hAnsi="Times New Roman" w:cs="Times New Roman"/>
          <w:b/>
          <w:bCs/>
        </w:rPr>
        <w:t>Fig. 2</w:t>
      </w:r>
      <w:r w:rsidRPr="002579E0">
        <w:rPr>
          <w:rFonts w:ascii="Times New Roman" w:hAnsi="Times New Roman" w:cs="Times New Roman"/>
        </w:rPr>
        <w:t>). Site was important in explaining variation in our dataset for each dissimilarity (</w:t>
      </w:r>
      <w:r w:rsidR="007451DC">
        <w:rPr>
          <w:rFonts w:ascii="Times New Roman" w:hAnsi="Times New Roman" w:cs="Times New Roman"/>
          <w:b/>
          <w:bCs/>
        </w:rPr>
        <w:t>Table</w:t>
      </w:r>
      <w:r w:rsidR="00D71824">
        <w:rPr>
          <w:rFonts w:ascii="Times New Roman" w:hAnsi="Times New Roman" w:cs="Times New Roman"/>
          <w:b/>
          <w:bCs/>
        </w:rPr>
        <w:t xml:space="preserve"> </w:t>
      </w:r>
      <w:r w:rsidR="00497FBE">
        <w:rPr>
          <w:rFonts w:ascii="Times New Roman" w:hAnsi="Times New Roman" w:cs="Times New Roman"/>
          <w:b/>
          <w:bCs/>
        </w:rPr>
        <w:t>A</w:t>
      </w:r>
      <w:r w:rsidR="004D2321">
        <w:rPr>
          <w:rFonts w:ascii="Times New Roman" w:hAnsi="Times New Roman" w:cs="Times New Roman"/>
          <w:b/>
          <w:bCs/>
        </w:rPr>
        <w:t>1</w:t>
      </w:r>
      <w:r w:rsidRPr="002579E0">
        <w:rPr>
          <w:rFonts w:ascii="Times New Roman" w:hAnsi="Times New Roman" w:cs="Times New Roman"/>
        </w:rPr>
        <w:t xml:space="preserve">), and due to low biological replicates of Site, we conditioned our model to partial out these effects. This did not change the significance of any variable tested. To isolate and test only the effect of species, we additionally </w:t>
      </w:r>
      <w:proofErr w:type="spellStart"/>
      <w:r w:rsidRPr="002579E0">
        <w:rPr>
          <w:rFonts w:ascii="Times New Roman" w:hAnsi="Times New Roman" w:cs="Times New Roman"/>
        </w:rPr>
        <w:t>partialled</w:t>
      </w:r>
      <w:proofErr w:type="spellEnd"/>
      <w:r w:rsidRPr="002579E0">
        <w:rPr>
          <w:rFonts w:ascii="Times New Roman" w:hAnsi="Times New Roman" w:cs="Times New Roman"/>
        </w:rPr>
        <w:t xml:space="preserve"> out the effects of habitat as well. Our models explained anywhere from 5-36% of total inertia in our dataset, evaluated by the adjusted r</w:t>
      </w:r>
      <w:r w:rsidRPr="002579E0">
        <w:rPr>
          <w:rFonts w:ascii="Times New Roman" w:hAnsi="Times New Roman" w:cs="Times New Roman"/>
          <w:vertAlign w:val="superscript"/>
        </w:rPr>
        <w:t>2</w:t>
      </w:r>
      <w:r w:rsidRPr="002579E0">
        <w:rPr>
          <w:rFonts w:ascii="Times New Roman" w:hAnsi="Times New Roman" w:cs="Times New Roman"/>
        </w:rPr>
        <w:t xml:space="preserve"> from variance partitioning.</w:t>
      </w:r>
      <w:r w:rsidR="004F302B" w:rsidRPr="002579E0">
        <w:rPr>
          <w:rFonts w:ascii="Times New Roman" w:hAnsi="Times New Roman" w:cs="Times New Roman"/>
        </w:rPr>
        <w:t xml:space="preserve"> </w:t>
      </w:r>
      <w:r w:rsidRPr="002579E0">
        <w:rPr>
          <w:rFonts w:ascii="Times New Roman" w:hAnsi="Times New Roman" w:cs="Times New Roman"/>
        </w:rPr>
        <w:t>Salamander swabs were significantly different from cover object swabs and aquatic cover objects were significantly different from terrestrial cover objects, but aquatic and terrestrial salamanders were not significantly different</w:t>
      </w:r>
      <w:r w:rsidR="00497FBE">
        <w:rPr>
          <w:rFonts w:ascii="Times New Roman" w:hAnsi="Times New Roman" w:cs="Times New Roman"/>
        </w:rPr>
        <w:t xml:space="preserve">. </w:t>
      </w:r>
      <w:r w:rsidRPr="002579E0">
        <w:rPr>
          <w:rFonts w:ascii="Times New Roman" w:hAnsi="Times New Roman" w:cs="Times New Roman"/>
        </w:rPr>
        <w:t xml:space="preserve">When comparing salamanders to cover objects, both Weighted </w:t>
      </w:r>
      <w:proofErr w:type="spellStart"/>
      <w:r w:rsidRPr="002579E0">
        <w:rPr>
          <w:rFonts w:ascii="Times New Roman" w:hAnsi="Times New Roman" w:cs="Times New Roman"/>
        </w:rPr>
        <w:t>Unifrac</w:t>
      </w:r>
      <w:proofErr w:type="spellEnd"/>
      <w:r w:rsidRPr="002579E0">
        <w:rPr>
          <w:rFonts w:ascii="Times New Roman" w:hAnsi="Times New Roman" w:cs="Times New Roman"/>
        </w:rPr>
        <w:t xml:space="preserve"> and all ecological-based dissimilarities were statistically significant (</w:t>
      </w:r>
      <w:r w:rsidRPr="002579E0">
        <w:rPr>
          <w:rFonts w:ascii="Times New Roman" w:hAnsi="Times New Roman" w:cs="Times New Roman"/>
          <w:b/>
          <w:bCs/>
        </w:rPr>
        <w:t>Table 1</w:t>
      </w:r>
      <w:r w:rsidRPr="002579E0">
        <w:rPr>
          <w:rFonts w:ascii="Times New Roman" w:hAnsi="Times New Roman" w:cs="Times New Roman"/>
        </w:rPr>
        <w:t>). Unconstrained ordinations illustrate the near absence of overlap between aquatic and terrestrial cover samples on the first two PC axes. Variance partitioning confirmed that aquatic vs terrestrial habitat accounts for the largest fraction of the variation overall and for cover objects, but for very little of the variation among salamanders (</w:t>
      </w:r>
      <w:r w:rsidRPr="002579E0">
        <w:rPr>
          <w:rFonts w:ascii="Times New Roman" w:hAnsi="Times New Roman" w:cs="Times New Roman"/>
          <w:b/>
          <w:bCs/>
        </w:rPr>
        <w:t>Fig. 2</w:t>
      </w:r>
      <w:r w:rsidRPr="002579E0">
        <w:rPr>
          <w:rFonts w:ascii="Times New Roman" w:hAnsi="Times New Roman" w:cs="Times New Roman"/>
        </w:rPr>
        <w:t xml:space="preserve">). </w:t>
      </w:r>
    </w:p>
    <w:p w14:paraId="51827EDE" w14:textId="77777777" w:rsidR="00FB3A19" w:rsidRDefault="004534B5" w:rsidP="00FB3A19">
      <w:pPr>
        <w:spacing w:line="360" w:lineRule="auto"/>
        <w:ind w:firstLine="720"/>
        <w:rPr>
          <w:rFonts w:ascii="Times New Roman" w:hAnsi="Times New Roman" w:cs="Times New Roman"/>
        </w:rPr>
      </w:pPr>
      <w:r w:rsidRPr="002579E0">
        <w:rPr>
          <w:rFonts w:ascii="Times New Roman" w:hAnsi="Times New Roman" w:cs="Times New Roman"/>
        </w:rPr>
        <w:t>Swabs from different salamanders were not very similar. Pairwise turnover (</w:t>
      </w:r>
      <w:r w:rsidRPr="002579E0">
        <w:rPr>
          <w:rFonts w:ascii="Times New Roman" w:hAnsi="Times New Roman" w:cs="Times New Roman"/>
          <w:b/>
          <w:bCs/>
        </w:rPr>
        <w:t>Fig. 3</w:t>
      </w:r>
      <w:r w:rsidRPr="002579E0">
        <w:rPr>
          <w:rFonts w:ascii="Times New Roman" w:hAnsi="Times New Roman" w:cs="Times New Roman"/>
        </w:rPr>
        <w:t>) indicates that the signal of differentiation might be largely driven by consistency among cover object swabs from the same habitat rather than similarity among salamander samples. Salamander swabs were as different from each other or more, on average, as they were from most cover object swabs (</w:t>
      </w:r>
      <w:r w:rsidRPr="002579E0">
        <w:rPr>
          <w:rFonts w:ascii="Times New Roman" w:hAnsi="Times New Roman" w:cs="Times New Roman"/>
          <w:b/>
          <w:bCs/>
        </w:rPr>
        <w:t>Fig. 3</w:t>
      </w:r>
      <w:r w:rsidRPr="002579E0">
        <w:rPr>
          <w:rFonts w:ascii="Times New Roman" w:hAnsi="Times New Roman" w:cs="Times New Roman"/>
        </w:rPr>
        <w:t xml:space="preserve">). Salamanders, in general, exhibit more heterogeneity than cover objects but show subtle evidence of increased similarity to their immediate cover object and </w:t>
      </w:r>
      <w:r w:rsidR="00FB3A19" w:rsidRPr="002579E0">
        <w:rPr>
          <w:rFonts w:ascii="Times New Roman" w:hAnsi="Times New Roman" w:cs="Times New Roman"/>
        </w:rPr>
        <w:t>cover objects of the same species compared to those of differing species or habitat (</w:t>
      </w:r>
      <w:r w:rsidR="00FB3A19" w:rsidRPr="002579E0">
        <w:rPr>
          <w:rFonts w:ascii="Times New Roman" w:hAnsi="Times New Roman" w:cs="Times New Roman"/>
          <w:b/>
          <w:bCs/>
        </w:rPr>
        <w:t>Fig. 3</w:t>
      </w:r>
      <w:r w:rsidR="00FB3A19" w:rsidRPr="002579E0">
        <w:rPr>
          <w:rFonts w:ascii="Times New Roman" w:hAnsi="Times New Roman" w:cs="Times New Roman"/>
        </w:rPr>
        <w:t>).</w:t>
      </w:r>
      <w:r w:rsidR="00FB3A19">
        <w:rPr>
          <w:rFonts w:ascii="Times New Roman" w:hAnsi="Times New Roman" w:cs="Times New Roman"/>
        </w:rPr>
        <w:t xml:space="preserve"> </w:t>
      </w:r>
      <w:r w:rsidR="00FB3A19" w:rsidRPr="002579E0">
        <w:rPr>
          <w:rFonts w:ascii="Times New Roman" w:hAnsi="Times New Roman" w:cs="Times New Roman"/>
        </w:rPr>
        <w:t>Further evidence of high dissimilarity between salamanders is evident in the average gamma diversity across rarefactions, which was 9,461 OTUs for all cover objects and 8,334 for all salamanders.</w:t>
      </w:r>
      <w:r w:rsidR="00FB3A19" w:rsidRPr="001C6482">
        <w:rPr>
          <w:rFonts w:ascii="Times New Roman" w:hAnsi="Times New Roman" w:cs="Times New Roman"/>
        </w:rPr>
        <w:t xml:space="preserve"> </w:t>
      </w:r>
    </w:p>
    <w:p w14:paraId="19D7BDA8" w14:textId="7273ADA9" w:rsidR="004D2321" w:rsidRDefault="00FB3A19" w:rsidP="00FB3A19">
      <w:pPr>
        <w:spacing w:line="360" w:lineRule="auto"/>
        <w:ind w:firstLine="720"/>
        <w:rPr>
          <w:rFonts w:ascii="Times New Roman" w:hAnsi="Times New Roman" w:cs="Times New Roman"/>
        </w:rPr>
      </w:pPr>
      <w:r w:rsidRPr="002579E0">
        <w:rPr>
          <w:rFonts w:ascii="Times New Roman" w:hAnsi="Times New Roman" w:cs="Times New Roman"/>
        </w:rPr>
        <w:t>Swabs from different salamander species were somewhat differentiated.</w:t>
      </w:r>
      <w:r>
        <w:rPr>
          <w:rFonts w:ascii="Times New Roman" w:hAnsi="Times New Roman" w:cs="Times New Roman"/>
        </w:rPr>
        <w:t xml:space="preserve"> </w:t>
      </w:r>
      <w:r w:rsidRPr="002579E0">
        <w:rPr>
          <w:rFonts w:ascii="Times New Roman" w:hAnsi="Times New Roman" w:cs="Times New Roman"/>
        </w:rPr>
        <w:t xml:space="preserve">After </w:t>
      </w:r>
      <w:proofErr w:type="spellStart"/>
      <w:r w:rsidRPr="002579E0">
        <w:rPr>
          <w:rFonts w:ascii="Times New Roman" w:hAnsi="Times New Roman" w:cs="Times New Roman"/>
        </w:rPr>
        <w:t>partialling</w:t>
      </w:r>
      <w:proofErr w:type="spellEnd"/>
      <w:r>
        <w:rPr>
          <w:rFonts w:ascii="Times New Roman" w:hAnsi="Times New Roman" w:cs="Times New Roman"/>
        </w:rPr>
        <w:t xml:space="preserve"> </w:t>
      </w:r>
      <w:r w:rsidRPr="002579E0">
        <w:rPr>
          <w:rFonts w:ascii="Times New Roman" w:hAnsi="Times New Roman" w:cs="Times New Roman"/>
        </w:rPr>
        <w:t>out the effects of habitat and site, both salamander species and the cover objects associated with</w:t>
      </w:r>
    </w:p>
    <w:p w14:paraId="4D50AB8A" w14:textId="028CF31B" w:rsidR="004D2321" w:rsidRPr="008F76E5" w:rsidRDefault="004D2321" w:rsidP="004D2321">
      <w:pPr>
        <w:pStyle w:val="Caption"/>
        <w:rPr>
          <w:rFonts w:ascii="Times New Roman" w:hAnsi="Times New Roman" w:cs="Times New Roman"/>
        </w:rPr>
      </w:pPr>
    </w:p>
    <w:p w14:paraId="2AC45543" w14:textId="79B8693F" w:rsidR="00FB3A19" w:rsidRDefault="00940CBB">
      <w:pPr>
        <w:rPr>
          <w:rFonts w:ascii="Times New Roman" w:hAnsi="Times New Roman" w:cs="Times New Roman"/>
        </w:rPr>
      </w:pPr>
      <w:r>
        <w:rPr>
          <w:noProof/>
        </w:rPr>
        <mc:AlternateContent>
          <mc:Choice Requires="wps">
            <w:drawing>
              <wp:anchor distT="0" distB="0" distL="114300" distR="114300" simplePos="0" relativeHeight="251817984" behindDoc="0" locked="0" layoutInCell="1" allowOverlap="1" wp14:anchorId="32AA8DB3" wp14:editId="40075E25">
                <wp:simplePos x="0" y="0"/>
                <wp:positionH relativeFrom="column">
                  <wp:posOffset>-13335</wp:posOffset>
                </wp:positionH>
                <wp:positionV relativeFrom="paragraph">
                  <wp:posOffset>4544060</wp:posOffset>
                </wp:positionV>
                <wp:extent cx="5943600" cy="635"/>
                <wp:effectExtent l="0" t="0" r="0" b="12065"/>
                <wp:wrapNone/>
                <wp:docPr id="2176040"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1C911B0" w14:textId="51E6F892" w:rsidR="00940CBB" w:rsidRPr="00491D83" w:rsidRDefault="00940CBB" w:rsidP="00940CBB">
                            <w:pPr>
                              <w:pStyle w:val="Caption"/>
                              <w:rPr>
                                <w:rFonts w:ascii="Times New Roman" w:hAnsi="Times New Roman" w:cs="Times New Roman"/>
                                <w:b w:val="0"/>
                                <w:bCs w:val="0"/>
                                <w:noProof/>
                              </w:rPr>
                            </w:pPr>
                            <w:bookmarkStart w:id="24" w:name="_Toc165024858"/>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w:t>
                            </w:r>
                            <w:r w:rsidRPr="00491D83">
                              <w:rPr>
                                <w:rFonts w:ascii="Times New Roman" w:hAnsi="Times New Roman" w:cs="Times New Roman"/>
                                <w:b w:val="0"/>
                                <w:bCs w:val="0"/>
                              </w:rPr>
                              <w:fldChar w:fldCharType="end"/>
                            </w:r>
                            <w:r w:rsidRPr="00491D83">
                              <w:rPr>
                                <w:rFonts w:ascii="Times New Roman" w:hAnsi="Times New Roman" w:cs="Times New Roman"/>
                                <w:b w:val="0"/>
                                <w:bCs w:val="0"/>
                              </w:rPr>
                              <w:t>: Unconstrained ordinations of the Horn dissimilarity for all samples (top left), only cover objects (top right) and salamanders colored by habitat (lower left) and species (lower right)</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2AA8DB3" id="_x0000_t202" coordsize="21600,21600" o:spt="202" path="m,l,21600r21600,l21600,xe">
                <v:stroke joinstyle="miter"/>
                <v:path gradientshapeok="t" o:connecttype="rect"/>
              </v:shapetype>
              <v:shape id="Text Box 1" o:spid="_x0000_s1026" type="#_x0000_t202" style="position:absolute;margin-left:-1.05pt;margin-top:357.8pt;width:468pt;height:.05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" stroked="f">
                <v:textbox style="mso-fit-shape-to-text:t" inset="0,0,0,0">
                  <w:txbxContent>
                    <w:p w14:paraId="61C911B0" w14:textId="51E6F892" w:rsidR="00940CBB" w:rsidRPr="00491D83" w:rsidRDefault="00940CBB" w:rsidP="00940CBB">
                      <w:pPr>
                        <w:pStyle w:val="Caption"/>
                        <w:rPr>
                          <w:rFonts w:ascii="Times New Roman" w:hAnsi="Times New Roman" w:cs="Times New Roman"/>
                          <w:b w:val="0"/>
                          <w:bCs w:val="0"/>
                          <w:noProof/>
                        </w:rPr>
                      </w:pPr>
                      <w:bookmarkStart w:id="25" w:name="_Toc165024858"/>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w:t>
                      </w:r>
                      <w:r w:rsidRPr="00491D83">
                        <w:rPr>
                          <w:rFonts w:ascii="Times New Roman" w:hAnsi="Times New Roman" w:cs="Times New Roman"/>
                          <w:b w:val="0"/>
                          <w:bCs w:val="0"/>
                        </w:rPr>
                        <w:fldChar w:fldCharType="end"/>
                      </w:r>
                      <w:r w:rsidRPr="00491D83">
                        <w:rPr>
                          <w:rFonts w:ascii="Times New Roman" w:hAnsi="Times New Roman" w:cs="Times New Roman"/>
                          <w:b w:val="0"/>
                          <w:bCs w:val="0"/>
                        </w:rPr>
                        <w:t>: Unconstrained ordinations of the Horn dissimilarity for all samples (top left), only cover objects (top right) and salamanders colored by habitat (lower left) and species (lower right)</w:t>
                      </w:r>
                      <w:bookmarkEnd w:id="25"/>
                    </w:p>
                  </w:txbxContent>
                </v:textbox>
              </v:shape>
            </w:pict>
          </mc:Fallback>
        </mc:AlternateContent>
      </w:r>
      <w:r w:rsidR="00207B9D" w:rsidRPr="00C567E4">
        <w:rPr>
          <w:rFonts w:ascii="Times New Roman" w:hAnsi="Times New Roman" w:cs="Times New Roman"/>
          <w:noProof/>
        </w:rPr>
        <w:drawing>
          <wp:anchor distT="0" distB="0" distL="114300" distR="114300" simplePos="0" relativeHeight="251730944" behindDoc="0" locked="0" layoutInCell="1" allowOverlap="1" wp14:anchorId="12C33C01" wp14:editId="453AD7F1">
            <wp:simplePos x="0" y="0"/>
            <wp:positionH relativeFrom="column">
              <wp:posOffset>-13335</wp:posOffset>
            </wp:positionH>
            <wp:positionV relativeFrom="paragraph">
              <wp:posOffset>321945</wp:posOffset>
            </wp:positionV>
            <wp:extent cx="5943600" cy="4164965"/>
            <wp:effectExtent l="0" t="0" r="0" b="0"/>
            <wp:wrapNone/>
            <wp:docPr id="504279032" name="Picture 3">
              <a:extLst xmlns:a="http://schemas.openxmlformats.org/drawingml/2006/main">
                <a:ext uri="{FF2B5EF4-FFF2-40B4-BE49-F238E27FC236}">
                  <a16:creationId xmlns:a16="http://schemas.microsoft.com/office/drawing/2014/main" id="{69DA038B-AADD-0F13-7C2D-883D577F46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9DA038B-AADD-0F13-7C2D-883D577F463B}"/>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943600" cy="4164965"/>
                    </a:xfrm>
                    <a:prstGeom prst="rect">
                      <a:avLst/>
                    </a:prstGeom>
                  </pic:spPr>
                </pic:pic>
              </a:graphicData>
            </a:graphic>
          </wp:anchor>
        </w:drawing>
      </w:r>
      <w:r w:rsidR="004D2321">
        <w:rPr>
          <w:rFonts w:ascii="Times New Roman" w:hAnsi="Times New Roman" w:cs="Times New Roman"/>
        </w:rPr>
        <w:br w:type="page"/>
      </w:r>
    </w:p>
    <w:p w14:paraId="62AE597A" w14:textId="7EA0A3B7" w:rsidR="00FB3A19" w:rsidRDefault="00FB3A19">
      <w:pPr>
        <w:rPr>
          <w:rFonts w:ascii="Times New Roman" w:hAnsi="Times New Roman" w:cs="Times New Roman"/>
        </w:rPr>
      </w:pPr>
      <w:r>
        <w:rPr>
          <w:noProof/>
        </w:rPr>
        <w:lastRenderedPageBreak/>
        <mc:AlternateContent>
          <mc:Choice Requires="wps">
            <w:drawing>
              <wp:anchor distT="0" distB="0" distL="114300" distR="114300" simplePos="0" relativeHeight="251786240" behindDoc="0" locked="0" layoutInCell="1" allowOverlap="1" wp14:anchorId="43057713" wp14:editId="09E9D030">
                <wp:simplePos x="0" y="0"/>
                <wp:positionH relativeFrom="column">
                  <wp:posOffset>136525</wp:posOffset>
                </wp:positionH>
                <wp:positionV relativeFrom="paragraph">
                  <wp:posOffset>3294380</wp:posOffset>
                </wp:positionV>
                <wp:extent cx="5908675" cy="635"/>
                <wp:effectExtent l="0" t="0" r="0" b="12065"/>
                <wp:wrapSquare wrapText="bothSides"/>
                <wp:docPr id="1345018668" name="Text Box 1"/>
                <wp:cNvGraphicFramePr/>
                <a:graphic xmlns:a="http://schemas.openxmlformats.org/drawingml/2006/main">
                  <a:graphicData uri="http://schemas.microsoft.com/office/word/2010/wordprocessingShape">
                    <wps:wsp>
                      <wps:cNvSpPr txBox="1"/>
                      <wps:spPr>
                        <a:xfrm>
                          <a:off x="0" y="0"/>
                          <a:ext cx="5908675" cy="635"/>
                        </a:xfrm>
                        <a:prstGeom prst="rect">
                          <a:avLst/>
                        </a:prstGeom>
                        <a:solidFill>
                          <a:prstClr val="white"/>
                        </a:solidFill>
                        <a:ln>
                          <a:noFill/>
                        </a:ln>
                      </wps:spPr>
                      <wps:txbx>
                        <w:txbxContent>
                          <w:p w14:paraId="6D52B4B5" w14:textId="081A8C28" w:rsidR="00A855C4" w:rsidRPr="00491D83" w:rsidRDefault="00A855C4" w:rsidP="00A855C4">
                            <w:pPr>
                              <w:pStyle w:val="Caption"/>
                              <w:rPr>
                                <w:rFonts w:ascii="Times New Roman" w:hAnsi="Times New Roman" w:cs="Times New Roman"/>
                                <w:b w:val="0"/>
                                <w:bCs w:val="0"/>
                                <w:noProof/>
                              </w:rPr>
                            </w:pPr>
                            <w:bookmarkStart w:id="26" w:name="_Toc165024859"/>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2</w:t>
                            </w:r>
                            <w:r w:rsidRPr="00491D83">
                              <w:rPr>
                                <w:rFonts w:ascii="Times New Roman" w:hAnsi="Times New Roman" w:cs="Times New Roman"/>
                                <w:b w:val="0"/>
                                <w:bCs w:val="0"/>
                              </w:rPr>
                              <w:fldChar w:fldCharType="end"/>
                            </w:r>
                            <w:r w:rsidRPr="00491D83">
                              <w:rPr>
                                <w:rFonts w:ascii="Times New Roman" w:hAnsi="Times New Roman" w:cs="Times New Roman"/>
                                <w:b w:val="0"/>
                                <w:bCs w:val="0"/>
                              </w:rPr>
                              <w:t>: Variance partitioning of variables. Values denote adjust r</w:t>
                            </w:r>
                            <w:r w:rsidRPr="00491D83">
                              <w:rPr>
                                <w:rFonts w:ascii="Times New Roman" w:hAnsi="Times New Roman" w:cs="Times New Roman"/>
                                <w:b w:val="0"/>
                                <w:bCs w:val="0"/>
                                <w:vertAlign w:val="superscript"/>
                              </w:rPr>
                              <w:t>2</w:t>
                            </w:r>
                            <w:r w:rsidRPr="00491D83">
                              <w:rPr>
                                <w:rFonts w:ascii="Times New Roman" w:hAnsi="Times New Roman" w:cs="Times New Roman"/>
                                <w:b w:val="0"/>
                                <w:bCs w:val="0"/>
                              </w:rPr>
                              <w:t>. All diagrams show partitioning of the Horn dissimilarity, except where denoted.</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057713" id="_x0000_s1027" type="#_x0000_t202" style="position:absolute;margin-left:10.75pt;margin-top:259.4pt;width:465.25pt;height:.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" stroked="f">
                <v:textbox style="mso-fit-shape-to-text:t" inset="0,0,0,0">
                  <w:txbxContent>
                    <w:p w14:paraId="6D52B4B5" w14:textId="081A8C28" w:rsidR="00A855C4" w:rsidRPr="00491D83" w:rsidRDefault="00A855C4" w:rsidP="00A855C4">
                      <w:pPr>
                        <w:pStyle w:val="Caption"/>
                        <w:rPr>
                          <w:rFonts w:ascii="Times New Roman" w:hAnsi="Times New Roman" w:cs="Times New Roman"/>
                          <w:b w:val="0"/>
                          <w:bCs w:val="0"/>
                          <w:noProof/>
                        </w:rPr>
                      </w:pPr>
                      <w:bookmarkStart w:id="27" w:name="_Toc165024859"/>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2</w:t>
                      </w:r>
                      <w:r w:rsidRPr="00491D83">
                        <w:rPr>
                          <w:rFonts w:ascii="Times New Roman" w:hAnsi="Times New Roman" w:cs="Times New Roman"/>
                          <w:b w:val="0"/>
                          <w:bCs w:val="0"/>
                        </w:rPr>
                        <w:fldChar w:fldCharType="end"/>
                      </w:r>
                      <w:r w:rsidRPr="00491D83">
                        <w:rPr>
                          <w:rFonts w:ascii="Times New Roman" w:hAnsi="Times New Roman" w:cs="Times New Roman"/>
                          <w:b w:val="0"/>
                          <w:bCs w:val="0"/>
                        </w:rPr>
                        <w:t>: Variance partitioning of variables. Values denote adjust r</w:t>
                      </w:r>
                      <w:r w:rsidRPr="00491D83">
                        <w:rPr>
                          <w:rFonts w:ascii="Times New Roman" w:hAnsi="Times New Roman" w:cs="Times New Roman"/>
                          <w:b w:val="0"/>
                          <w:bCs w:val="0"/>
                          <w:vertAlign w:val="superscript"/>
                        </w:rPr>
                        <w:t>2</w:t>
                      </w:r>
                      <w:r w:rsidRPr="00491D83">
                        <w:rPr>
                          <w:rFonts w:ascii="Times New Roman" w:hAnsi="Times New Roman" w:cs="Times New Roman"/>
                          <w:b w:val="0"/>
                          <w:bCs w:val="0"/>
                        </w:rPr>
                        <w:t>. All diagrams show partitioning of the Horn dissimilarity, except where denoted.</w:t>
                      </w:r>
                      <w:bookmarkEnd w:id="27"/>
                    </w:p>
                  </w:txbxContent>
                </v:textbox>
                <w10:wrap type="square"/>
              </v:shape>
            </w:pict>
          </mc:Fallback>
        </mc:AlternateContent>
      </w:r>
      <w:r w:rsidRPr="001C6482">
        <w:rPr>
          <w:noProof/>
        </w:rPr>
        <w:drawing>
          <wp:anchor distT="0" distB="0" distL="114300" distR="114300" simplePos="0" relativeHeight="251784192" behindDoc="1" locked="0" layoutInCell="1" allowOverlap="1" wp14:anchorId="7723AF4D" wp14:editId="1E263DC7">
            <wp:simplePos x="0" y="0"/>
            <wp:positionH relativeFrom="column">
              <wp:posOffset>0</wp:posOffset>
            </wp:positionH>
            <wp:positionV relativeFrom="paragraph">
              <wp:posOffset>59690</wp:posOffset>
            </wp:positionV>
            <wp:extent cx="5908675" cy="3235960"/>
            <wp:effectExtent l="0" t="0" r="0" b="0"/>
            <wp:wrapSquare wrapText="bothSides"/>
            <wp:docPr id="1406008539" name="Picture 3" descr="Chart, bubble chart&#10;&#10;Description automatically generated">
              <a:extLst xmlns:a="http://schemas.openxmlformats.org/drawingml/2006/main">
                <a:ext uri="{FF2B5EF4-FFF2-40B4-BE49-F238E27FC236}">
                  <a16:creationId xmlns:a16="http://schemas.microsoft.com/office/drawing/2014/main" id="{83E5AC7D-79D9-2782-5968-92A16AE5A3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bubble chart&#10;&#10;Description automatically generated">
                      <a:extLst>
                        <a:ext uri="{FF2B5EF4-FFF2-40B4-BE49-F238E27FC236}">
                          <a16:creationId xmlns:a16="http://schemas.microsoft.com/office/drawing/2014/main" id="{83E5AC7D-79D9-2782-5968-92A16AE5A30E}"/>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908675" cy="32359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type="page"/>
      </w:r>
    </w:p>
    <w:p w14:paraId="1DA4EE14" w14:textId="77777777" w:rsidR="004D2321" w:rsidRDefault="004D2321">
      <w:pPr>
        <w:rPr>
          <w:rFonts w:ascii="Times New Roman" w:hAnsi="Times New Roman" w:cs="Times New Roman"/>
        </w:rPr>
      </w:pPr>
    </w:p>
    <w:p w14:paraId="3561FD90" w14:textId="34B2B1D7" w:rsidR="004D2321" w:rsidRDefault="00A855C4" w:rsidP="004D2321">
      <w:pPr>
        <w:spacing w:line="360" w:lineRule="auto"/>
        <w:rPr>
          <w:rFonts w:ascii="Times New Roman" w:hAnsi="Times New Roman" w:cs="Times New Roman"/>
        </w:rPr>
      </w:pPr>
      <w:r>
        <w:rPr>
          <w:noProof/>
        </w:rPr>
        <mc:AlternateContent>
          <mc:Choice Requires="wps">
            <w:drawing>
              <wp:anchor distT="0" distB="0" distL="114300" distR="114300" simplePos="0" relativeHeight="251789312" behindDoc="1" locked="0" layoutInCell="1" allowOverlap="1" wp14:anchorId="465D4984" wp14:editId="2BC3D3CE">
                <wp:simplePos x="0" y="0"/>
                <wp:positionH relativeFrom="column">
                  <wp:posOffset>0</wp:posOffset>
                </wp:positionH>
                <wp:positionV relativeFrom="paragraph">
                  <wp:posOffset>4489450</wp:posOffset>
                </wp:positionV>
                <wp:extent cx="5909310" cy="635"/>
                <wp:effectExtent l="0" t="0" r="0" b="12065"/>
                <wp:wrapTight wrapText="bothSides">
                  <wp:wrapPolygon edited="0">
                    <wp:start x="0" y="0"/>
                    <wp:lineTo x="0" y="0"/>
                    <wp:lineTo x="21540" y="0"/>
                    <wp:lineTo x="21540" y="0"/>
                    <wp:lineTo x="0" y="0"/>
                  </wp:wrapPolygon>
                </wp:wrapTight>
                <wp:docPr id="492080292" name="Text Box 1"/>
                <wp:cNvGraphicFramePr/>
                <a:graphic xmlns:a="http://schemas.openxmlformats.org/drawingml/2006/main">
                  <a:graphicData uri="http://schemas.microsoft.com/office/word/2010/wordprocessingShape">
                    <wps:wsp>
                      <wps:cNvSpPr txBox="1"/>
                      <wps:spPr>
                        <a:xfrm>
                          <a:off x="0" y="0"/>
                          <a:ext cx="5909310" cy="635"/>
                        </a:xfrm>
                        <a:prstGeom prst="rect">
                          <a:avLst/>
                        </a:prstGeom>
                        <a:solidFill>
                          <a:prstClr val="white"/>
                        </a:solidFill>
                        <a:ln>
                          <a:noFill/>
                        </a:ln>
                      </wps:spPr>
                      <wps:txbx>
                        <w:txbxContent>
                          <w:p w14:paraId="6837C93D" w14:textId="335FEBD1" w:rsidR="00A855C4" w:rsidRPr="00491D83" w:rsidRDefault="00A855C4" w:rsidP="00A855C4">
                            <w:pPr>
                              <w:pStyle w:val="Caption"/>
                              <w:rPr>
                                <w:rFonts w:ascii="Times New Roman" w:hAnsi="Times New Roman" w:cs="Times New Roman"/>
                                <w:b w:val="0"/>
                                <w:bCs w:val="0"/>
                                <w:noProof/>
                              </w:rPr>
                            </w:pPr>
                            <w:bookmarkStart w:id="28" w:name="_Toc165024860"/>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3</w:t>
                            </w:r>
                            <w:r w:rsidRPr="00491D83">
                              <w:rPr>
                                <w:rFonts w:ascii="Times New Roman" w:hAnsi="Times New Roman" w:cs="Times New Roman"/>
                                <w:b w:val="0"/>
                                <w:bCs w:val="0"/>
                              </w:rPr>
                              <w:fldChar w:fldCharType="end"/>
                            </w:r>
                            <w:r w:rsidRPr="00491D83">
                              <w:rPr>
                                <w:rFonts w:ascii="Times New Roman" w:hAnsi="Times New Roman" w:cs="Times New Roman"/>
                                <w:b w:val="0"/>
                                <w:bCs w:val="0"/>
                              </w:rPr>
                              <w:t>: Boxplots of OTUs of pairwise Horn dissimilarity. "Same Microhabitat" means same salamander species. All comparisons are within a site.</w:t>
                            </w:r>
                            <w:bookmarkEnd w:id="2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5D4984" id="_x0000_s1028" type="#_x0000_t202" style="position:absolute;margin-left:0;margin-top:353.5pt;width:465.3pt;height:.05pt;z-index:-251527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" stroked="f">
                <v:textbox style="mso-fit-shape-to-text:t" inset="0,0,0,0">
                  <w:txbxContent>
                    <w:p w14:paraId="6837C93D" w14:textId="335FEBD1" w:rsidR="00A855C4" w:rsidRPr="00491D83" w:rsidRDefault="00A855C4" w:rsidP="00A855C4">
                      <w:pPr>
                        <w:pStyle w:val="Caption"/>
                        <w:rPr>
                          <w:rFonts w:ascii="Times New Roman" w:hAnsi="Times New Roman" w:cs="Times New Roman"/>
                          <w:b w:val="0"/>
                          <w:bCs w:val="0"/>
                          <w:noProof/>
                        </w:rPr>
                      </w:pPr>
                      <w:bookmarkStart w:id="29" w:name="_Toc165024860"/>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3</w:t>
                      </w:r>
                      <w:r w:rsidRPr="00491D83">
                        <w:rPr>
                          <w:rFonts w:ascii="Times New Roman" w:hAnsi="Times New Roman" w:cs="Times New Roman"/>
                          <w:b w:val="0"/>
                          <w:bCs w:val="0"/>
                        </w:rPr>
                        <w:fldChar w:fldCharType="end"/>
                      </w:r>
                      <w:r w:rsidRPr="00491D83">
                        <w:rPr>
                          <w:rFonts w:ascii="Times New Roman" w:hAnsi="Times New Roman" w:cs="Times New Roman"/>
                          <w:b w:val="0"/>
                          <w:bCs w:val="0"/>
                        </w:rPr>
                        <w:t>: Boxplots of OTUs of pairwise Horn dissimilarity. "Same Microhabitat" means same salamander species. All comparisons are within a site.</w:t>
                      </w:r>
                      <w:bookmarkEnd w:id="29"/>
                    </w:p>
                  </w:txbxContent>
                </v:textbox>
                <w10:wrap type="tight"/>
              </v:shape>
            </w:pict>
          </mc:Fallback>
        </mc:AlternateContent>
      </w:r>
      <w:r w:rsidR="004D2321" w:rsidRPr="009963EA">
        <w:rPr>
          <w:rFonts w:ascii="Times New Roman" w:hAnsi="Times New Roman" w:cs="Times New Roman"/>
          <w:noProof/>
        </w:rPr>
        <w:drawing>
          <wp:anchor distT="0" distB="0" distL="114300" distR="114300" simplePos="0" relativeHeight="251787264" behindDoc="1" locked="0" layoutInCell="1" allowOverlap="1" wp14:anchorId="10C640D8" wp14:editId="32BE153D">
            <wp:simplePos x="0" y="0"/>
            <wp:positionH relativeFrom="column">
              <wp:posOffset>0</wp:posOffset>
            </wp:positionH>
            <wp:positionV relativeFrom="paragraph">
              <wp:posOffset>0</wp:posOffset>
            </wp:positionV>
            <wp:extent cx="5909310" cy="4432300"/>
            <wp:effectExtent l="0" t="0" r="0" b="0"/>
            <wp:wrapTight wrapText="bothSides">
              <wp:wrapPolygon edited="0">
                <wp:start x="1253" y="62"/>
                <wp:lineTo x="1253" y="4147"/>
                <wp:lineTo x="650" y="4518"/>
                <wp:lineTo x="650" y="4828"/>
                <wp:lineTo x="1253" y="5137"/>
                <wp:lineTo x="1253" y="7117"/>
                <wp:lineTo x="232" y="7427"/>
                <wp:lineTo x="46" y="7674"/>
                <wp:lineTo x="46" y="11079"/>
                <wp:lineTo x="1207" y="12069"/>
                <wp:lineTo x="1253" y="15040"/>
                <wp:lineTo x="650" y="15597"/>
                <wp:lineTo x="650" y="15906"/>
                <wp:lineTo x="1253" y="16030"/>
                <wp:lineTo x="1253" y="19372"/>
                <wp:lineTo x="1857" y="19991"/>
                <wp:lineTo x="2228" y="19991"/>
                <wp:lineTo x="2228" y="20362"/>
                <wp:lineTo x="10306" y="20672"/>
                <wp:lineTo x="18615" y="20672"/>
                <wp:lineTo x="21168" y="20486"/>
                <wp:lineTo x="21354" y="20115"/>
                <wp:lineTo x="21029" y="19991"/>
                <wp:lineTo x="21493" y="19001"/>
                <wp:lineTo x="21540" y="18444"/>
                <wp:lineTo x="21400" y="18320"/>
                <wp:lineTo x="20565" y="18010"/>
                <wp:lineTo x="20565" y="16030"/>
                <wp:lineTo x="21447" y="15720"/>
                <wp:lineTo x="21447" y="15658"/>
                <wp:lineTo x="20565" y="15040"/>
                <wp:lineTo x="20565" y="11079"/>
                <wp:lineTo x="21447" y="10212"/>
                <wp:lineTo x="21447" y="10088"/>
                <wp:lineTo x="20565" y="10088"/>
                <wp:lineTo x="20611" y="9098"/>
                <wp:lineTo x="21122" y="8108"/>
                <wp:lineTo x="21168" y="5446"/>
                <wp:lineTo x="21029" y="5137"/>
                <wp:lineTo x="20565" y="5137"/>
                <wp:lineTo x="21447" y="4766"/>
                <wp:lineTo x="21447" y="4580"/>
                <wp:lineTo x="20565" y="4147"/>
                <wp:lineTo x="20565" y="62"/>
                <wp:lineTo x="1253" y="62"/>
              </wp:wrapPolygon>
            </wp:wrapTight>
            <wp:docPr id="778798680" name="Picture 3">
              <a:extLst xmlns:a="http://schemas.openxmlformats.org/drawingml/2006/main">
                <a:ext uri="{FF2B5EF4-FFF2-40B4-BE49-F238E27FC236}">
                  <a16:creationId xmlns:a16="http://schemas.microsoft.com/office/drawing/2014/main" id="{C0EEA102-84F5-354A-4DD7-9CED9B2DD1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0EEA102-84F5-354A-4DD7-9CED9B2DD1EB}"/>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909310" cy="4432300"/>
                    </a:xfrm>
                    <a:prstGeom prst="rect">
                      <a:avLst/>
                    </a:prstGeom>
                  </pic:spPr>
                </pic:pic>
              </a:graphicData>
            </a:graphic>
            <wp14:sizeRelH relativeFrom="page">
              <wp14:pctWidth>0</wp14:pctWidth>
            </wp14:sizeRelH>
            <wp14:sizeRelV relativeFrom="page">
              <wp14:pctHeight>0</wp14:pctHeight>
            </wp14:sizeRelV>
          </wp:anchor>
        </w:drawing>
      </w:r>
    </w:p>
    <w:p w14:paraId="144B8B41" w14:textId="242B3F3C" w:rsidR="004D2321" w:rsidRPr="00DA0249" w:rsidRDefault="004D2321">
      <w:pPr>
        <w:rPr>
          <w:rFonts w:ascii="Times New Roman" w:hAnsi="Times New Roman" w:cs="Times New Roman"/>
          <w:b/>
          <w:bCs/>
        </w:rPr>
      </w:pPr>
      <w:r w:rsidRPr="00DA0249">
        <w:rPr>
          <w:rFonts w:ascii="Times New Roman" w:hAnsi="Times New Roman" w:cs="Times New Roman"/>
          <w:b/>
          <w:bCs/>
        </w:rPr>
        <w:br w:type="page"/>
      </w:r>
    </w:p>
    <w:p w14:paraId="7B797B55" w14:textId="77777777" w:rsidR="004D2321" w:rsidRDefault="004D2321" w:rsidP="004D2321">
      <w:pPr>
        <w:spacing w:line="360" w:lineRule="auto"/>
        <w:rPr>
          <w:rFonts w:ascii="Times New Roman" w:hAnsi="Times New Roman" w:cs="Times New Roman"/>
        </w:rPr>
      </w:pPr>
    </w:p>
    <w:tbl>
      <w:tblPr>
        <w:tblStyle w:val="TableGrid"/>
        <w:tblpPr w:leftFromText="180" w:rightFromText="180" w:vertAnchor="text" w:horzAnchor="margin" w:tblpY="691"/>
        <w:tblW w:w="9415" w:type="dxa"/>
        <w:tblLook w:val="04A0" w:firstRow="1" w:lastRow="0" w:firstColumn="1" w:lastColumn="0" w:noHBand="0" w:noVBand="1"/>
      </w:tblPr>
      <w:tblGrid>
        <w:gridCol w:w="1468"/>
        <w:gridCol w:w="1378"/>
        <w:gridCol w:w="1622"/>
        <w:gridCol w:w="1622"/>
        <w:gridCol w:w="1947"/>
        <w:gridCol w:w="1378"/>
      </w:tblGrid>
      <w:tr w:rsidR="00DA0249" w:rsidRPr="003C0B6C" w14:paraId="33CF6C48" w14:textId="77777777" w:rsidTr="00DA0249">
        <w:trPr>
          <w:trHeight w:val="465"/>
        </w:trPr>
        <w:tc>
          <w:tcPr>
            <w:tcW w:w="1468" w:type="dxa"/>
            <w:tcBorders>
              <w:top w:val="nil"/>
              <w:left w:val="nil"/>
            </w:tcBorders>
            <w:noWrap/>
            <w:vAlign w:val="center"/>
          </w:tcPr>
          <w:p w14:paraId="09D02D55" w14:textId="77777777" w:rsidR="00DA0249" w:rsidRPr="003C0B6C" w:rsidRDefault="00DA0249" w:rsidP="00DA0249">
            <w:pPr>
              <w:jc w:val="center"/>
              <w:rPr>
                <w:rFonts w:ascii="Times" w:hAnsi="Times" w:cs="Calibri"/>
                <w:b/>
                <w:bCs/>
                <w:color w:val="000000"/>
                <w:sz w:val="20"/>
                <w:szCs w:val="20"/>
              </w:rPr>
            </w:pPr>
          </w:p>
        </w:tc>
        <w:tc>
          <w:tcPr>
            <w:tcW w:w="7947" w:type="dxa"/>
            <w:gridSpan w:val="5"/>
            <w:shd w:val="clear" w:color="auto" w:fill="D9D9D9" w:themeFill="background1" w:themeFillShade="D9"/>
            <w:noWrap/>
            <w:vAlign w:val="center"/>
          </w:tcPr>
          <w:p w14:paraId="1267D126" w14:textId="77777777" w:rsidR="00DA0249" w:rsidRPr="003C0B6C" w:rsidRDefault="00DA0249" w:rsidP="00DA0249">
            <w:pPr>
              <w:jc w:val="center"/>
              <w:rPr>
                <w:rFonts w:ascii="Times New Roman" w:hAnsi="Times New Roman" w:cs="Times New Roman"/>
                <w:b/>
                <w:bCs/>
                <w:color w:val="000000"/>
                <w:sz w:val="20"/>
                <w:szCs w:val="20"/>
              </w:rPr>
            </w:pPr>
            <w:r w:rsidRPr="003C0B6C">
              <w:rPr>
                <w:rFonts w:ascii="Times New Roman" w:hAnsi="Times New Roman" w:cs="Times New Roman"/>
                <w:b/>
                <w:bCs/>
                <w:color w:val="000000"/>
                <w:sz w:val="20"/>
                <w:szCs w:val="20"/>
              </w:rPr>
              <w:t>Comparisons</w:t>
            </w:r>
          </w:p>
        </w:tc>
      </w:tr>
      <w:tr w:rsidR="00DA0249" w:rsidRPr="003C0B6C" w14:paraId="7E986992" w14:textId="77777777" w:rsidTr="00DA0249">
        <w:trPr>
          <w:trHeight w:val="465"/>
        </w:trPr>
        <w:tc>
          <w:tcPr>
            <w:tcW w:w="1468" w:type="dxa"/>
            <w:shd w:val="clear" w:color="auto" w:fill="D9D9D9" w:themeFill="background1" w:themeFillShade="D9"/>
            <w:noWrap/>
            <w:vAlign w:val="center"/>
            <w:hideMark/>
          </w:tcPr>
          <w:p w14:paraId="3779D8F4" w14:textId="77777777" w:rsidR="00DA0249" w:rsidRPr="003C0B6C" w:rsidRDefault="00DA0249" w:rsidP="00DA0249">
            <w:pPr>
              <w:jc w:val="center"/>
              <w:rPr>
                <w:rFonts w:ascii="Times New Roman" w:hAnsi="Times New Roman" w:cs="Times New Roman"/>
                <w:b/>
                <w:bCs/>
                <w:color w:val="000000"/>
                <w:sz w:val="20"/>
                <w:szCs w:val="20"/>
              </w:rPr>
            </w:pPr>
            <w:r w:rsidRPr="003C0B6C">
              <w:rPr>
                <w:rFonts w:ascii="Times New Roman" w:hAnsi="Times New Roman" w:cs="Times New Roman"/>
                <w:b/>
                <w:bCs/>
                <w:color w:val="000000"/>
                <w:sz w:val="20"/>
                <w:szCs w:val="20"/>
              </w:rPr>
              <w:t>Dissimilarity</w:t>
            </w:r>
          </w:p>
        </w:tc>
        <w:tc>
          <w:tcPr>
            <w:tcW w:w="1378" w:type="dxa"/>
            <w:noWrap/>
            <w:vAlign w:val="center"/>
            <w:hideMark/>
          </w:tcPr>
          <w:p w14:paraId="5884D777"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Salamanders to Cover Objects</w:t>
            </w:r>
          </w:p>
        </w:tc>
        <w:tc>
          <w:tcPr>
            <w:tcW w:w="1622" w:type="dxa"/>
            <w:noWrap/>
            <w:vAlign w:val="center"/>
            <w:hideMark/>
          </w:tcPr>
          <w:p w14:paraId="7B4ACD5D"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Cover Objects: Aquatic vs Terrestrial</w:t>
            </w:r>
          </w:p>
        </w:tc>
        <w:tc>
          <w:tcPr>
            <w:tcW w:w="1622" w:type="dxa"/>
            <w:noWrap/>
            <w:vAlign w:val="center"/>
            <w:hideMark/>
          </w:tcPr>
          <w:p w14:paraId="7FB56084"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Salamanders: Aquatic vs Terrestrial</w:t>
            </w:r>
          </w:p>
        </w:tc>
        <w:tc>
          <w:tcPr>
            <w:tcW w:w="1947" w:type="dxa"/>
            <w:vAlign w:val="center"/>
          </w:tcPr>
          <w:p w14:paraId="6C44B232"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Cover Objects of Different Salamander Species</w:t>
            </w:r>
          </w:p>
        </w:tc>
        <w:tc>
          <w:tcPr>
            <w:tcW w:w="1378" w:type="dxa"/>
            <w:noWrap/>
            <w:vAlign w:val="center"/>
            <w:hideMark/>
          </w:tcPr>
          <w:p w14:paraId="227506F3"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Salamanders of Different Species</w:t>
            </w:r>
          </w:p>
        </w:tc>
      </w:tr>
      <w:tr w:rsidR="00DA0249" w:rsidRPr="003C0B6C" w14:paraId="37ADCAB5" w14:textId="77777777" w:rsidTr="00DA0249">
        <w:trPr>
          <w:trHeight w:val="290"/>
        </w:trPr>
        <w:tc>
          <w:tcPr>
            <w:tcW w:w="1468" w:type="dxa"/>
            <w:shd w:val="clear" w:color="auto" w:fill="D9D9D9" w:themeFill="background1" w:themeFillShade="D9"/>
            <w:noWrap/>
            <w:vAlign w:val="center"/>
            <w:hideMark/>
          </w:tcPr>
          <w:p w14:paraId="38170950"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Sørensen</w:t>
            </w:r>
          </w:p>
        </w:tc>
        <w:tc>
          <w:tcPr>
            <w:tcW w:w="1378" w:type="dxa"/>
            <w:noWrap/>
            <w:vAlign w:val="center"/>
            <w:hideMark/>
          </w:tcPr>
          <w:p w14:paraId="66CD24E4"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670D2F12"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7FD3A31F"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0.1096</w:t>
            </w:r>
          </w:p>
        </w:tc>
        <w:tc>
          <w:tcPr>
            <w:tcW w:w="1947" w:type="dxa"/>
            <w:vAlign w:val="center"/>
          </w:tcPr>
          <w:p w14:paraId="7525D771"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0.015</w:t>
            </w:r>
          </w:p>
        </w:tc>
        <w:tc>
          <w:tcPr>
            <w:tcW w:w="1378" w:type="dxa"/>
            <w:noWrap/>
            <w:vAlign w:val="center"/>
            <w:hideMark/>
          </w:tcPr>
          <w:p w14:paraId="47C6FB91"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0.0222</w:t>
            </w:r>
          </w:p>
        </w:tc>
      </w:tr>
      <w:tr w:rsidR="00DA0249" w:rsidRPr="003C0B6C" w14:paraId="1667CBDB" w14:textId="77777777" w:rsidTr="00DA0249">
        <w:trPr>
          <w:trHeight w:val="290"/>
        </w:trPr>
        <w:tc>
          <w:tcPr>
            <w:tcW w:w="1468" w:type="dxa"/>
            <w:shd w:val="clear" w:color="auto" w:fill="D9D9D9" w:themeFill="background1" w:themeFillShade="D9"/>
            <w:noWrap/>
            <w:vAlign w:val="center"/>
            <w:hideMark/>
          </w:tcPr>
          <w:p w14:paraId="21466436"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Horn</w:t>
            </w:r>
          </w:p>
        </w:tc>
        <w:tc>
          <w:tcPr>
            <w:tcW w:w="1378" w:type="dxa"/>
            <w:noWrap/>
            <w:vAlign w:val="center"/>
            <w:hideMark/>
          </w:tcPr>
          <w:p w14:paraId="247F3905"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3FBB40A5"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0DABCCE4"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0.1378</w:t>
            </w:r>
          </w:p>
        </w:tc>
        <w:tc>
          <w:tcPr>
            <w:tcW w:w="1947" w:type="dxa"/>
            <w:vAlign w:val="center"/>
          </w:tcPr>
          <w:p w14:paraId="12DFFD3B"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0.0358</w:t>
            </w:r>
          </w:p>
        </w:tc>
        <w:tc>
          <w:tcPr>
            <w:tcW w:w="1378" w:type="dxa"/>
            <w:noWrap/>
            <w:vAlign w:val="center"/>
            <w:hideMark/>
          </w:tcPr>
          <w:p w14:paraId="36026EF7"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0.0338</w:t>
            </w:r>
          </w:p>
        </w:tc>
      </w:tr>
      <w:tr w:rsidR="00DA0249" w:rsidRPr="003C0B6C" w14:paraId="3272E32D" w14:textId="77777777" w:rsidTr="00DA0249">
        <w:trPr>
          <w:trHeight w:val="290"/>
        </w:trPr>
        <w:tc>
          <w:tcPr>
            <w:tcW w:w="1468" w:type="dxa"/>
            <w:shd w:val="clear" w:color="auto" w:fill="D9D9D9" w:themeFill="background1" w:themeFillShade="D9"/>
            <w:noWrap/>
            <w:vAlign w:val="center"/>
            <w:hideMark/>
          </w:tcPr>
          <w:p w14:paraId="27044709" w14:textId="77777777" w:rsidR="00DA0249" w:rsidRPr="003C0B6C" w:rsidRDefault="00DA0249" w:rsidP="00DA0249">
            <w:pPr>
              <w:jc w:val="center"/>
              <w:rPr>
                <w:rFonts w:ascii="Times New Roman" w:hAnsi="Times New Roman" w:cs="Times New Roman"/>
                <w:color w:val="000000"/>
                <w:sz w:val="20"/>
                <w:szCs w:val="20"/>
              </w:rPr>
            </w:pPr>
            <w:proofErr w:type="spellStart"/>
            <w:r w:rsidRPr="003C0B6C">
              <w:rPr>
                <w:rFonts w:ascii="Times New Roman" w:hAnsi="Times New Roman" w:cs="Times New Roman"/>
                <w:color w:val="000000"/>
                <w:sz w:val="20"/>
                <w:szCs w:val="20"/>
              </w:rPr>
              <w:t>Morisita</w:t>
            </w:r>
            <w:proofErr w:type="spellEnd"/>
            <w:r w:rsidRPr="003C0B6C">
              <w:rPr>
                <w:rFonts w:ascii="Times New Roman" w:hAnsi="Times New Roman" w:cs="Times New Roman"/>
                <w:color w:val="000000"/>
                <w:sz w:val="20"/>
                <w:szCs w:val="20"/>
              </w:rPr>
              <w:t>-Horn</w:t>
            </w:r>
          </w:p>
        </w:tc>
        <w:tc>
          <w:tcPr>
            <w:tcW w:w="1378" w:type="dxa"/>
            <w:noWrap/>
            <w:vAlign w:val="center"/>
            <w:hideMark/>
          </w:tcPr>
          <w:p w14:paraId="6A25D9C4"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49202891"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71C11FE2"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0.1858</w:t>
            </w:r>
          </w:p>
        </w:tc>
        <w:tc>
          <w:tcPr>
            <w:tcW w:w="1947" w:type="dxa"/>
            <w:vAlign w:val="center"/>
          </w:tcPr>
          <w:p w14:paraId="18F11FCF"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0.07899</w:t>
            </w:r>
          </w:p>
        </w:tc>
        <w:tc>
          <w:tcPr>
            <w:tcW w:w="1378" w:type="dxa"/>
            <w:noWrap/>
            <w:vAlign w:val="center"/>
            <w:hideMark/>
          </w:tcPr>
          <w:p w14:paraId="755E01AB"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0.1188</w:t>
            </w:r>
          </w:p>
        </w:tc>
      </w:tr>
      <w:tr w:rsidR="00DA0249" w:rsidRPr="003C0B6C" w14:paraId="19ACD40E" w14:textId="77777777" w:rsidTr="00DA0249">
        <w:trPr>
          <w:trHeight w:val="290"/>
        </w:trPr>
        <w:tc>
          <w:tcPr>
            <w:tcW w:w="1468" w:type="dxa"/>
            <w:shd w:val="clear" w:color="auto" w:fill="D9D9D9" w:themeFill="background1" w:themeFillShade="D9"/>
            <w:noWrap/>
            <w:vAlign w:val="center"/>
            <w:hideMark/>
          </w:tcPr>
          <w:p w14:paraId="7C81F7F5"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 xml:space="preserve">Weighted </w:t>
            </w:r>
            <w:proofErr w:type="spellStart"/>
            <w:r w:rsidRPr="003C0B6C">
              <w:rPr>
                <w:rFonts w:ascii="Times New Roman" w:hAnsi="Times New Roman" w:cs="Times New Roman"/>
                <w:color w:val="000000"/>
                <w:sz w:val="20"/>
                <w:szCs w:val="20"/>
              </w:rPr>
              <w:t>Unifrac</w:t>
            </w:r>
            <w:proofErr w:type="spellEnd"/>
          </w:p>
        </w:tc>
        <w:tc>
          <w:tcPr>
            <w:tcW w:w="1378" w:type="dxa"/>
            <w:noWrap/>
            <w:vAlign w:val="center"/>
            <w:hideMark/>
          </w:tcPr>
          <w:p w14:paraId="21125E34"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0.001</w:t>
            </w:r>
          </w:p>
        </w:tc>
        <w:tc>
          <w:tcPr>
            <w:tcW w:w="1622" w:type="dxa"/>
            <w:noWrap/>
            <w:vAlign w:val="center"/>
            <w:hideMark/>
          </w:tcPr>
          <w:p w14:paraId="58B4AF74" w14:textId="77777777" w:rsidR="00DA0249" w:rsidRPr="003C0B6C" w:rsidRDefault="00DA0249" w:rsidP="00DA0249">
            <w:pPr>
              <w:jc w:val="center"/>
              <w:rPr>
                <w:rFonts w:ascii="Times New Roman" w:hAnsi="Times New Roman" w:cs="Times New Roman"/>
                <w:b/>
                <w:bCs/>
                <w:i/>
                <w:iCs/>
                <w:color w:val="000000"/>
                <w:sz w:val="20"/>
                <w:szCs w:val="20"/>
              </w:rPr>
            </w:pPr>
            <w:r w:rsidRPr="003C0B6C">
              <w:rPr>
                <w:rFonts w:ascii="Times New Roman" w:hAnsi="Times New Roman" w:cs="Times New Roman"/>
                <w:b/>
                <w:bCs/>
                <w:i/>
                <w:iCs/>
                <w:color w:val="000000"/>
                <w:sz w:val="20"/>
                <w:szCs w:val="20"/>
              </w:rPr>
              <w:t>&lt;0.001</w:t>
            </w:r>
          </w:p>
        </w:tc>
        <w:tc>
          <w:tcPr>
            <w:tcW w:w="1622" w:type="dxa"/>
            <w:noWrap/>
            <w:vAlign w:val="center"/>
            <w:hideMark/>
          </w:tcPr>
          <w:p w14:paraId="26BBE8AF"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0.5305</w:t>
            </w:r>
          </w:p>
        </w:tc>
        <w:tc>
          <w:tcPr>
            <w:tcW w:w="1947" w:type="dxa"/>
            <w:vAlign w:val="center"/>
          </w:tcPr>
          <w:p w14:paraId="11DA3880"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0.1628</w:t>
            </w:r>
          </w:p>
        </w:tc>
        <w:tc>
          <w:tcPr>
            <w:tcW w:w="1378" w:type="dxa"/>
            <w:noWrap/>
            <w:vAlign w:val="center"/>
            <w:hideMark/>
          </w:tcPr>
          <w:p w14:paraId="7BB63F71" w14:textId="77777777" w:rsidR="00DA0249" w:rsidRPr="003C0B6C" w:rsidRDefault="00DA0249" w:rsidP="00DA0249">
            <w:pPr>
              <w:jc w:val="center"/>
              <w:rPr>
                <w:rFonts w:ascii="Times New Roman" w:hAnsi="Times New Roman" w:cs="Times New Roman"/>
                <w:color w:val="000000"/>
                <w:sz w:val="20"/>
                <w:szCs w:val="20"/>
              </w:rPr>
            </w:pPr>
            <w:r w:rsidRPr="003C0B6C">
              <w:rPr>
                <w:rFonts w:ascii="Times New Roman" w:hAnsi="Times New Roman" w:cs="Times New Roman"/>
                <w:color w:val="000000"/>
                <w:sz w:val="20"/>
                <w:szCs w:val="20"/>
              </w:rPr>
              <w:t>0.1792</w:t>
            </w:r>
          </w:p>
        </w:tc>
      </w:tr>
    </w:tbl>
    <w:p w14:paraId="2D96C891" w14:textId="06D49530" w:rsidR="004D2321" w:rsidRPr="00491D83" w:rsidRDefault="004D2321">
      <w:pPr>
        <w:rPr>
          <w:rFonts w:ascii="Times New Roman" w:hAnsi="Times New Roman" w:cs="Times New Roman"/>
        </w:rPr>
      </w:pPr>
      <w:bookmarkStart w:id="30" w:name="_Toc165028991"/>
      <w:r w:rsidRPr="00491D83">
        <w:rPr>
          <w:rFonts w:ascii="Times New Roman" w:hAnsi="Times New Roman" w:cs="Times New Roman"/>
        </w:rPr>
        <w:t xml:space="preserve">Table </w:t>
      </w:r>
      <w:r w:rsidR="00122B3E">
        <w:rPr>
          <w:rFonts w:ascii="Times New Roman" w:hAnsi="Times New Roman" w:cs="Times New Roman"/>
        </w:rPr>
        <w:fldChar w:fldCharType="begin"/>
      </w:r>
      <w:r w:rsidR="00122B3E">
        <w:rPr>
          <w:rFonts w:ascii="Times New Roman" w:hAnsi="Times New Roman" w:cs="Times New Roman"/>
        </w:rPr>
        <w:instrText xml:space="preserve"> SEQ Table \* ARABIC </w:instrText>
      </w:r>
      <w:r w:rsidR="00122B3E">
        <w:rPr>
          <w:rFonts w:ascii="Times New Roman" w:hAnsi="Times New Roman" w:cs="Times New Roman"/>
        </w:rPr>
        <w:fldChar w:fldCharType="separate"/>
      </w:r>
      <w:r w:rsidR="001648DD">
        <w:rPr>
          <w:rFonts w:ascii="Times New Roman" w:hAnsi="Times New Roman" w:cs="Times New Roman"/>
          <w:noProof/>
        </w:rPr>
        <w:t>1</w:t>
      </w:r>
      <w:r w:rsidR="00122B3E">
        <w:rPr>
          <w:rFonts w:ascii="Times New Roman" w:hAnsi="Times New Roman" w:cs="Times New Roman"/>
        </w:rPr>
        <w:fldChar w:fldCharType="end"/>
      </w:r>
      <w:r w:rsidRPr="00491D83">
        <w:rPr>
          <w:rFonts w:ascii="Times New Roman" w:hAnsi="Times New Roman" w:cs="Times New Roman"/>
        </w:rPr>
        <w:t xml:space="preserve">: Results from </w:t>
      </w:r>
      <w:proofErr w:type="spellStart"/>
      <w:r w:rsidRPr="00491D83">
        <w:rPr>
          <w:rFonts w:ascii="Times New Roman" w:hAnsi="Times New Roman" w:cs="Times New Roman"/>
        </w:rPr>
        <w:t>dbRDA</w:t>
      </w:r>
      <w:proofErr w:type="spellEnd"/>
      <w:r w:rsidRPr="00491D83">
        <w:rPr>
          <w:rFonts w:ascii="Times New Roman" w:hAnsi="Times New Roman" w:cs="Times New Roman"/>
        </w:rPr>
        <w:t xml:space="preserve"> and </w:t>
      </w:r>
      <w:proofErr w:type="spellStart"/>
      <w:r w:rsidRPr="00491D83">
        <w:rPr>
          <w:rFonts w:ascii="Times New Roman" w:hAnsi="Times New Roman" w:cs="Times New Roman"/>
        </w:rPr>
        <w:t>anova.cca</w:t>
      </w:r>
      <w:proofErr w:type="spellEnd"/>
      <w:r w:rsidRPr="00491D83">
        <w:rPr>
          <w:rFonts w:ascii="Times New Roman" w:hAnsi="Times New Roman" w:cs="Times New Roman"/>
        </w:rPr>
        <w:t>. Columns correspond to the tested hypothesis and rows indicate the dissimilarity metric.</w:t>
      </w:r>
      <w:bookmarkEnd w:id="30"/>
      <w:r w:rsidRPr="00491D83">
        <w:rPr>
          <w:rFonts w:ascii="Times New Roman" w:hAnsi="Times New Roman" w:cs="Times New Roman"/>
        </w:rPr>
        <w:br w:type="page"/>
      </w:r>
    </w:p>
    <w:p w14:paraId="6AD942B1" w14:textId="5ADA2E52" w:rsidR="002579E0" w:rsidRPr="002579E0" w:rsidRDefault="001C6482" w:rsidP="00FB3A19">
      <w:pPr>
        <w:spacing w:line="360" w:lineRule="auto"/>
        <w:rPr>
          <w:rFonts w:ascii="Times New Roman" w:hAnsi="Times New Roman" w:cs="Times New Roman"/>
        </w:rPr>
      </w:pPr>
      <w:r w:rsidRPr="002579E0">
        <w:rPr>
          <w:rFonts w:ascii="Times New Roman" w:hAnsi="Times New Roman" w:cs="Times New Roman"/>
        </w:rPr>
        <w:lastRenderedPageBreak/>
        <w:t>salamander species had significant differences only in Sørensen and Horn dissimilarity (</w:t>
      </w:r>
      <w:r w:rsidRPr="002579E0">
        <w:rPr>
          <w:rFonts w:ascii="Times New Roman" w:hAnsi="Times New Roman" w:cs="Times New Roman"/>
          <w:b/>
          <w:bCs/>
        </w:rPr>
        <w:t>Table 1</w:t>
      </w:r>
      <w:r w:rsidRPr="002579E0">
        <w:rPr>
          <w:rFonts w:ascii="Times New Roman" w:hAnsi="Times New Roman" w:cs="Times New Roman"/>
        </w:rPr>
        <w:t>), indicating the effects of species/microhabitats on patterns of differentiation stem largely from rare or lesser abundant OTUs.</w:t>
      </w:r>
      <w:r w:rsidRPr="001C6482">
        <w:rPr>
          <w:rFonts w:ascii="Times New Roman" w:hAnsi="Times New Roman" w:cs="Times New Roman"/>
        </w:rPr>
        <w:t xml:space="preserve"> </w:t>
      </w:r>
      <w:r w:rsidRPr="002579E0">
        <w:rPr>
          <w:rFonts w:ascii="Times New Roman" w:hAnsi="Times New Roman" w:cs="Times New Roman"/>
        </w:rPr>
        <w:t>Hierarchical clustering of the Horn dissimilarity</w:t>
      </w:r>
      <w:r>
        <w:rPr>
          <w:rFonts w:ascii="Times New Roman" w:hAnsi="Times New Roman" w:cs="Times New Roman"/>
        </w:rPr>
        <w:t xml:space="preserve"> shows</w:t>
      </w:r>
      <w:r w:rsidRPr="002579E0">
        <w:rPr>
          <w:rFonts w:ascii="Times New Roman" w:hAnsi="Times New Roman" w:cs="Times New Roman"/>
        </w:rPr>
        <w:t xml:space="preserve"> </w:t>
      </w:r>
      <w:r w:rsidR="004534B5" w:rsidRPr="002579E0">
        <w:rPr>
          <w:rFonts w:ascii="Times New Roman" w:hAnsi="Times New Roman" w:cs="Times New Roman"/>
        </w:rPr>
        <w:t>low agreement with the host species phylogeny (</w:t>
      </w:r>
      <w:r w:rsidR="004534B5" w:rsidRPr="002579E0">
        <w:rPr>
          <w:rFonts w:ascii="Times New Roman" w:hAnsi="Times New Roman" w:cs="Times New Roman"/>
          <w:b/>
          <w:bCs/>
        </w:rPr>
        <w:t>Fig. 4</w:t>
      </w:r>
      <w:r w:rsidR="004534B5" w:rsidRPr="002579E0">
        <w:rPr>
          <w:rFonts w:ascii="Times New Roman" w:hAnsi="Times New Roman" w:cs="Times New Roman"/>
        </w:rPr>
        <w:t xml:space="preserve">) and instead reflects widespread differentiation, with some resemblance to niche partitioning of salamander species along aquatic-terrestrial gradients within a site, particularly for </w:t>
      </w:r>
      <w:r w:rsidR="004534B5" w:rsidRPr="002579E0">
        <w:rPr>
          <w:rFonts w:ascii="Times New Roman" w:hAnsi="Times New Roman" w:cs="Times New Roman"/>
          <w:i/>
          <w:iCs/>
        </w:rPr>
        <w:t xml:space="preserve">E. </w:t>
      </w:r>
      <w:r w:rsidR="00CB244F" w:rsidRPr="00CB244F">
        <w:rPr>
          <w:rFonts w:ascii="Times New Roman" w:hAnsi="Times New Roman" w:cs="Times New Roman"/>
        </w:rPr>
        <w:t>cf.</w:t>
      </w:r>
      <w:r w:rsidR="00CB244F">
        <w:rPr>
          <w:rFonts w:ascii="Times New Roman" w:hAnsi="Times New Roman" w:cs="Times New Roman"/>
        </w:rPr>
        <w:t xml:space="preserve"> </w:t>
      </w:r>
      <w:proofErr w:type="spellStart"/>
      <w:r w:rsidR="004534B5" w:rsidRPr="002579E0">
        <w:rPr>
          <w:rFonts w:ascii="Times New Roman" w:hAnsi="Times New Roman" w:cs="Times New Roman"/>
          <w:i/>
          <w:iCs/>
        </w:rPr>
        <w:t>wilderae</w:t>
      </w:r>
      <w:proofErr w:type="spellEnd"/>
      <w:r w:rsidR="004534B5" w:rsidRPr="002579E0">
        <w:rPr>
          <w:rFonts w:ascii="Times New Roman" w:hAnsi="Times New Roman" w:cs="Times New Roman"/>
        </w:rPr>
        <w:t xml:space="preserve"> and </w:t>
      </w:r>
      <w:r w:rsidR="004534B5" w:rsidRPr="002579E0">
        <w:rPr>
          <w:rFonts w:ascii="Times New Roman" w:hAnsi="Times New Roman" w:cs="Times New Roman"/>
          <w:i/>
          <w:iCs/>
        </w:rPr>
        <w:t>D.</w:t>
      </w:r>
      <w:r w:rsidR="004534B5" w:rsidRPr="002579E0">
        <w:rPr>
          <w:rFonts w:ascii="Times New Roman" w:hAnsi="Times New Roman" w:cs="Times New Roman"/>
        </w:rPr>
        <w:t xml:space="preserve"> </w:t>
      </w:r>
      <w:proofErr w:type="spellStart"/>
      <w:r w:rsidR="004534B5" w:rsidRPr="002579E0">
        <w:rPr>
          <w:rFonts w:ascii="Times New Roman" w:hAnsi="Times New Roman" w:cs="Times New Roman"/>
          <w:i/>
          <w:iCs/>
        </w:rPr>
        <w:t>gvnigeusgwotli</w:t>
      </w:r>
      <w:proofErr w:type="spellEnd"/>
      <w:r w:rsidR="004534B5" w:rsidRPr="002579E0">
        <w:rPr>
          <w:rFonts w:ascii="Times New Roman" w:hAnsi="Times New Roman" w:cs="Times New Roman"/>
        </w:rPr>
        <w:t xml:space="preserve">. While the number of salamander species is far too small to support a statistical test of phylogenetic signal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{"citationID":"berIeGQ6","properties":{"formattedCitation":"(Boettiger et al., 2012)","plainCitation":"(Boettiger et al., 2012)","noteIndex":0},"citationItems":[{"id":81,"uris":["http://zotero.org/users/6401767/items/Q596F2CX"],"itemData":{"id":81,"type":"article-journal","abstract":"Phylogenetic comparative methods may fail to produce meaningful results when either the underlying model is inappropriate or the data contain insufficient information to inform the inference. The ability to measure the statistical power of these methods has become crucial to ensure that data quantity keeps pace with growing model complexity. Through simulations, we show that commonly applied model choice methods based on information criteria can have remarkably high error rates; this can be a problem because methods to estimate the uncertainty or power are not widely known or applied. Furthermore, the power of comparative methods can depend significantly on the structure of the data. We describe a Monte Carlo-based method which addresses both of these challenges, and show how this approach both quantifies and substantially reduces errors relative to information criteria. The method also produces meaningful confidence intervals for model parameters. We illustrate how the power to distinguish different models, such as varying levels of selection, varies both with number of taxa and structure of the phylogeny. We provide an open-source implementation in the pmc (“Phylogenetic Monte Carlo”) package for the R programming language. We hope such power analysis becomes a routine part of model comparison in comparative methods.","container-title":"Evolution","DOI":"10.1111/j.1558-5646.2011.01574.x","ISSN":"1558-5646","issue":"7","language":"en","license":"© 2012 The Author(s).","note":"_eprint: https://onlinelibrary.wiley.com/doi/pdf/10.1111/j.1558-5646.2011.01574.x","page":"2240-2251","source":"Wiley Online Library","title":"Is Your Phylogeny Informative? Measuring the Power of Comparative Methods","title-short":"Is Your Phylogeny Informative?","volume":"66","author":[{"family":"Boettiger","given":"Carl"},{"family":"Coop","given":"Graham"},{"family":"Ralph","given":"Peter"}],"issued":{"date-parts":[["2012"]]}}}],"schema":"https://github.com/citation-style-language/schema/raw/master/csl-citation.json"}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(Boettiger et al., 2012)</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the dissimilarity between species was only slightly greater, on average, than dissimilarity between individuals of the same species. </w:t>
      </w:r>
    </w:p>
    <w:p w14:paraId="7FCF67B8" w14:textId="750A00A1" w:rsidR="004534B5" w:rsidRPr="00491D83" w:rsidRDefault="00F01FDE" w:rsidP="007754C0">
      <w:pPr>
        <w:pStyle w:val="Heading3"/>
        <w:rPr>
          <w:rFonts w:ascii="Times New Roman" w:hAnsi="Times New Roman" w:cs="Times New Roman"/>
          <w:b w:val="0"/>
          <w:bCs w:val="0"/>
          <w:szCs w:val="24"/>
        </w:rPr>
      </w:pPr>
      <w:bookmarkStart w:id="31" w:name="_Toc165028059"/>
      <w:r w:rsidRPr="00491D83">
        <w:rPr>
          <w:rFonts w:ascii="Times New Roman" w:hAnsi="Times New Roman" w:cs="Times New Roman"/>
          <w:b w:val="0"/>
          <w:bCs w:val="0"/>
          <w:szCs w:val="24"/>
        </w:rPr>
        <w:t>Hosts less diverse than cover objects</w:t>
      </w:r>
      <w:bookmarkEnd w:id="31"/>
    </w:p>
    <w:p w14:paraId="52CAF8E0" w14:textId="2906DB9E" w:rsidR="004534B5" w:rsidRPr="002579E0" w:rsidRDefault="004534B5" w:rsidP="00882CCF">
      <w:pPr>
        <w:spacing w:line="360" w:lineRule="auto"/>
        <w:ind w:firstLine="720"/>
        <w:rPr>
          <w:rFonts w:ascii="Times New Roman" w:hAnsi="Times New Roman" w:cs="Times New Roman"/>
        </w:rPr>
      </w:pPr>
      <w:r w:rsidRPr="002579E0">
        <w:rPr>
          <w:rFonts w:ascii="Times New Roman" w:hAnsi="Times New Roman" w:cs="Times New Roman"/>
        </w:rPr>
        <w:t xml:space="preserve">Host-associated samples were generally less diverse than samples from cover objects. Alpha diversity was assessed at three orders of diversity. Average richness across all salamanders was 362 OTUs, while the average richness on aquatic and terrestrial cover objects was 596 and 461, respectively. Diversity estimates at </w:t>
      </w:r>
      <w:r w:rsidRPr="002579E0">
        <w:rPr>
          <w:rFonts w:ascii="Times New Roman" w:hAnsi="Times New Roman" w:cs="Times New Roman"/>
          <w:i/>
          <w:iCs/>
        </w:rPr>
        <w:t>q=1</w:t>
      </w:r>
      <w:r w:rsidRPr="002579E0">
        <w:rPr>
          <w:rFonts w:ascii="Times New Roman" w:hAnsi="Times New Roman" w:cs="Times New Roman"/>
        </w:rPr>
        <w:t xml:space="preserve"> </w:t>
      </w:r>
      <w:proofErr w:type="gramStart"/>
      <w:r w:rsidRPr="002579E0">
        <w:rPr>
          <w:rFonts w:ascii="Times New Roman" w:hAnsi="Times New Roman" w:cs="Times New Roman"/>
        </w:rPr>
        <w:t>were</w:t>
      </w:r>
      <w:proofErr w:type="gramEnd"/>
      <w:r w:rsidRPr="002579E0">
        <w:rPr>
          <w:rFonts w:ascii="Times New Roman" w:hAnsi="Times New Roman" w:cs="Times New Roman"/>
        </w:rPr>
        <w:t xml:space="preserve"> 199 for salamanders, 248 for terrestrial cover objects, and 320 for aquatic cover objects. At every order of </w:t>
      </w:r>
      <w:r w:rsidRPr="002579E0">
        <w:rPr>
          <w:rFonts w:ascii="Times New Roman" w:hAnsi="Times New Roman" w:cs="Times New Roman"/>
          <w:i/>
          <w:iCs/>
        </w:rPr>
        <w:t>q</w:t>
      </w:r>
      <w:r w:rsidRPr="002579E0">
        <w:rPr>
          <w:rFonts w:ascii="Times New Roman" w:hAnsi="Times New Roman" w:cs="Times New Roman"/>
        </w:rPr>
        <w:t>, salamanders were less diverse than aquatic cover objects (</w:t>
      </w:r>
      <w:r w:rsidRPr="002579E0">
        <w:rPr>
          <w:rFonts w:ascii="Times New Roman" w:hAnsi="Times New Roman" w:cs="Times New Roman"/>
          <w:b/>
          <w:bCs/>
        </w:rPr>
        <w:t>Fig. 5</w:t>
      </w:r>
      <w:r w:rsidRPr="002579E0">
        <w:rPr>
          <w:rFonts w:ascii="Times New Roman" w:hAnsi="Times New Roman" w:cs="Times New Roman"/>
        </w:rPr>
        <w:t xml:space="preserve">, all </w:t>
      </w:r>
      <w:r w:rsidRPr="004229FA">
        <w:rPr>
          <w:rFonts w:ascii="Times New Roman" w:hAnsi="Times New Roman" w:cs="Times New Roman"/>
          <w:i/>
          <w:iCs/>
        </w:rPr>
        <w:t>p</w:t>
      </w:r>
      <w:r w:rsidRPr="002579E0">
        <w:rPr>
          <w:rFonts w:ascii="Times New Roman" w:hAnsi="Times New Roman" w:cs="Times New Roman"/>
        </w:rPr>
        <w:t xml:space="preserve">&lt;0.05). Additionally, aquatic cover objects were more diverse, on average, than terrestrial cover objects at </w:t>
      </w:r>
      <w:r w:rsidRPr="002579E0">
        <w:rPr>
          <w:rFonts w:ascii="Times New Roman" w:hAnsi="Times New Roman" w:cs="Times New Roman"/>
          <w:i/>
          <w:iCs/>
        </w:rPr>
        <w:t xml:space="preserve">q=0 </w:t>
      </w:r>
      <w:r w:rsidRPr="002579E0">
        <w:rPr>
          <w:rFonts w:ascii="Times New Roman" w:hAnsi="Times New Roman" w:cs="Times New Roman"/>
        </w:rPr>
        <w:t xml:space="preserve">and </w:t>
      </w:r>
      <w:r w:rsidRPr="002579E0">
        <w:rPr>
          <w:rFonts w:ascii="Times New Roman" w:hAnsi="Times New Roman" w:cs="Times New Roman"/>
          <w:i/>
          <w:iCs/>
        </w:rPr>
        <w:t>q=1</w:t>
      </w:r>
      <w:r w:rsidRPr="002579E0">
        <w:rPr>
          <w:rFonts w:ascii="Times New Roman" w:hAnsi="Times New Roman" w:cs="Times New Roman"/>
        </w:rPr>
        <w:t xml:space="preserve">. Salamanders were significantly less diverse than terrestrial cover objects at </w:t>
      </w:r>
      <w:r w:rsidRPr="002579E0">
        <w:rPr>
          <w:rFonts w:ascii="Times New Roman" w:hAnsi="Times New Roman" w:cs="Times New Roman"/>
          <w:i/>
          <w:iCs/>
        </w:rPr>
        <w:t>q</w:t>
      </w:r>
      <w:r w:rsidRPr="002579E0">
        <w:rPr>
          <w:rFonts w:ascii="Times New Roman" w:hAnsi="Times New Roman" w:cs="Times New Roman"/>
        </w:rPr>
        <w:t>=</w:t>
      </w:r>
      <w:r w:rsidRPr="002579E0">
        <w:rPr>
          <w:rFonts w:ascii="Times New Roman" w:hAnsi="Times New Roman" w:cs="Times New Roman"/>
          <w:i/>
          <w:iCs/>
        </w:rPr>
        <w:t xml:space="preserve">0 </w:t>
      </w:r>
      <w:r w:rsidRPr="002579E0">
        <w:rPr>
          <w:rFonts w:ascii="Times New Roman" w:hAnsi="Times New Roman" w:cs="Times New Roman"/>
        </w:rPr>
        <w:t xml:space="preserve">and </w:t>
      </w:r>
      <w:r w:rsidRPr="002579E0">
        <w:rPr>
          <w:rFonts w:ascii="Times New Roman" w:hAnsi="Times New Roman" w:cs="Times New Roman"/>
          <w:i/>
          <w:iCs/>
        </w:rPr>
        <w:t>q</w:t>
      </w:r>
      <w:r w:rsidRPr="002579E0">
        <w:rPr>
          <w:rFonts w:ascii="Times New Roman" w:hAnsi="Times New Roman" w:cs="Times New Roman"/>
        </w:rPr>
        <w:t xml:space="preserve">=1, but not </w:t>
      </w:r>
      <w:r w:rsidRPr="002579E0">
        <w:rPr>
          <w:rFonts w:ascii="Times New Roman" w:hAnsi="Times New Roman" w:cs="Times New Roman"/>
          <w:i/>
          <w:iCs/>
        </w:rPr>
        <w:t>q</w:t>
      </w:r>
      <w:r w:rsidRPr="002579E0">
        <w:rPr>
          <w:rFonts w:ascii="Times New Roman" w:hAnsi="Times New Roman" w:cs="Times New Roman"/>
        </w:rPr>
        <w:t xml:space="preserve">=2. </w:t>
      </w:r>
    </w:p>
    <w:p w14:paraId="42BE55D7" w14:textId="5679670F" w:rsidR="004534B5" w:rsidRDefault="004534B5" w:rsidP="00882CCF">
      <w:pPr>
        <w:spacing w:line="360" w:lineRule="auto"/>
        <w:ind w:firstLine="720"/>
        <w:rPr>
          <w:rFonts w:ascii="Times New Roman" w:hAnsi="Times New Roman" w:cs="Times New Roman"/>
        </w:rPr>
      </w:pPr>
      <w:r w:rsidRPr="002579E0">
        <w:rPr>
          <w:rFonts w:ascii="Times New Roman" w:hAnsi="Times New Roman" w:cs="Times New Roman"/>
        </w:rPr>
        <w:t xml:space="preserve">Effective diversity decreased as the order of </w:t>
      </w:r>
      <w:r w:rsidRPr="002579E0">
        <w:rPr>
          <w:rFonts w:ascii="Times New Roman" w:hAnsi="Times New Roman" w:cs="Times New Roman"/>
          <w:i/>
          <w:iCs/>
        </w:rPr>
        <w:t>q</w:t>
      </w:r>
      <w:r w:rsidRPr="002579E0">
        <w:rPr>
          <w:rFonts w:ascii="Times New Roman" w:hAnsi="Times New Roman" w:cs="Times New Roman"/>
        </w:rPr>
        <w:t xml:space="preserve"> increased for all salamanders, aquatic, and terrestrial samples as expected for assemblages without perfectly even abundances. However, salamanders exhibited the least decline of all groups, indicating a more even distribution of abundances on salamanders. When focusing only on salamanders, there </w:t>
      </w:r>
      <w:r w:rsidR="007451DC">
        <w:rPr>
          <w:rFonts w:ascii="Times New Roman" w:hAnsi="Times New Roman" w:cs="Times New Roman"/>
        </w:rPr>
        <w:t>were</w:t>
      </w:r>
      <w:r w:rsidRPr="002579E0">
        <w:rPr>
          <w:rFonts w:ascii="Times New Roman" w:hAnsi="Times New Roman" w:cs="Times New Roman"/>
        </w:rPr>
        <w:t xml:space="preserve"> no statistically significant difference</w:t>
      </w:r>
      <w:r w:rsidR="007451DC">
        <w:rPr>
          <w:rFonts w:ascii="Times New Roman" w:hAnsi="Times New Roman" w:cs="Times New Roman"/>
        </w:rPr>
        <w:t>s</w:t>
      </w:r>
      <w:r w:rsidRPr="002579E0">
        <w:rPr>
          <w:rFonts w:ascii="Times New Roman" w:hAnsi="Times New Roman" w:cs="Times New Roman"/>
        </w:rPr>
        <w:t xml:space="preserve"> in alpha diversity between host species or host habitat</w:t>
      </w:r>
      <w:r w:rsidR="007451DC">
        <w:rPr>
          <w:rFonts w:ascii="Times New Roman" w:hAnsi="Times New Roman" w:cs="Times New Roman"/>
        </w:rPr>
        <w:t xml:space="preserve"> (</w:t>
      </w:r>
      <w:r w:rsidR="007451DC" w:rsidRPr="007451DC">
        <w:rPr>
          <w:rFonts w:ascii="Times New Roman" w:hAnsi="Times New Roman" w:cs="Times New Roman"/>
          <w:b/>
          <w:bCs/>
        </w:rPr>
        <w:t>Fig. A2</w:t>
      </w:r>
      <w:r w:rsidR="007451DC">
        <w:rPr>
          <w:rFonts w:ascii="Times New Roman" w:hAnsi="Times New Roman" w:cs="Times New Roman"/>
        </w:rPr>
        <w:t>)</w:t>
      </w:r>
      <w:r w:rsidRPr="002579E0">
        <w:rPr>
          <w:rFonts w:ascii="Times New Roman" w:hAnsi="Times New Roman" w:cs="Times New Roman"/>
        </w:rPr>
        <w:t xml:space="preserve">. </w:t>
      </w:r>
    </w:p>
    <w:p w14:paraId="75B7F6BD" w14:textId="77777777" w:rsidR="00FB3A19" w:rsidRPr="00491D83" w:rsidRDefault="00FB3A19" w:rsidP="00FB3A19">
      <w:pPr>
        <w:pStyle w:val="Heading3"/>
        <w:rPr>
          <w:rFonts w:ascii="Times New Roman" w:hAnsi="Times New Roman" w:cs="Times New Roman"/>
          <w:b w:val="0"/>
          <w:bCs w:val="0"/>
          <w:szCs w:val="24"/>
        </w:rPr>
      </w:pPr>
      <w:bookmarkStart w:id="32" w:name="_Toc165028060"/>
      <w:r w:rsidRPr="00491D83">
        <w:rPr>
          <w:rFonts w:ascii="Times New Roman" w:hAnsi="Times New Roman" w:cs="Times New Roman"/>
          <w:b w:val="0"/>
          <w:bCs w:val="0"/>
          <w:szCs w:val="24"/>
        </w:rPr>
        <w:t>Indicator species analysis and community composition</w:t>
      </w:r>
      <w:bookmarkEnd w:id="32"/>
    </w:p>
    <w:p w14:paraId="5C459D7F" w14:textId="34E6D105" w:rsidR="00FB3A19" w:rsidRDefault="00FB3A19" w:rsidP="00FB3A19">
      <w:pPr>
        <w:spacing w:line="360" w:lineRule="auto"/>
        <w:ind w:firstLine="720"/>
        <w:rPr>
          <w:rFonts w:ascii="Times New Roman" w:hAnsi="Times New Roman" w:cs="Times New Roman"/>
        </w:rPr>
      </w:pPr>
      <w:r w:rsidRPr="002579E0">
        <w:rPr>
          <w:rFonts w:ascii="Times New Roman" w:hAnsi="Times New Roman" w:cs="Times New Roman"/>
        </w:rPr>
        <w:t>The density distribution of point biserial correlation coefficients in our dataset pertaining to salamanders showed a bimodal distribution (</w:t>
      </w:r>
      <w:r w:rsidRPr="002579E0">
        <w:rPr>
          <w:rFonts w:ascii="Times New Roman" w:hAnsi="Times New Roman" w:cs="Times New Roman"/>
          <w:b/>
          <w:bCs/>
        </w:rPr>
        <w:t>Fig. 6</w:t>
      </w:r>
      <w:r w:rsidRPr="002579E0">
        <w:rPr>
          <w:rFonts w:ascii="Times New Roman" w:hAnsi="Times New Roman" w:cs="Times New Roman"/>
        </w:rPr>
        <w:t>). Of the over 62k sequences, only 21 possessed an average point biserial correlation coefficient greater than 0.2 across rarefactions (</w:t>
      </w:r>
      <w:r w:rsidRPr="002579E0">
        <w:rPr>
          <w:rFonts w:ascii="Times New Roman" w:hAnsi="Times New Roman" w:cs="Times New Roman"/>
          <w:b/>
          <w:bCs/>
        </w:rPr>
        <w:t xml:space="preserve">Fig. </w:t>
      </w:r>
      <w:r>
        <w:rPr>
          <w:rFonts w:ascii="Times New Roman" w:hAnsi="Times New Roman" w:cs="Times New Roman"/>
          <w:b/>
          <w:bCs/>
        </w:rPr>
        <w:t>A3, Table 2</w:t>
      </w:r>
      <w:r w:rsidRPr="002579E0">
        <w:rPr>
          <w:rFonts w:ascii="Times New Roman" w:hAnsi="Times New Roman" w:cs="Times New Roman"/>
        </w:rPr>
        <w:t>).</w:t>
      </w:r>
      <w:r>
        <w:rPr>
          <w:rFonts w:ascii="Times New Roman" w:hAnsi="Times New Roman" w:cs="Times New Roman"/>
        </w:rPr>
        <w:t xml:space="preserve"> </w:t>
      </w:r>
      <w:r w:rsidRPr="002579E0">
        <w:rPr>
          <w:rFonts w:ascii="Times New Roman" w:hAnsi="Times New Roman" w:cs="Times New Roman"/>
        </w:rPr>
        <w:t xml:space="preserve">These ASVs amounted to a mean relative abundance of 0.02 on salamander samples and 0.0008 on cover objects. The top indicator, an unnamed sequence variant </w:t>
      </w:r>
      <w:r>
        <w:rPr>
          <w:rFonts w:ascii="Times New Roman" w:hAnsi="Times New Roman" w:cs="Times New Roman"/>
        </w:rPr>
        <w:t>in</w:t>
      </w:r>
      <w:r w:rsidRPr="002579E0">
        <w:rPr>
          <w:rFonts w:ascii="Times New Roman" w:hAnsi="Times New Roman" w:cs="Times New Roman"/>
        </w:rPr>
        <w:t xml:space="preserve"> the </w:t>
      </w:r>
    </w:p>
    <w:p w14:paraId="7970344A" w14:textId="621DCAC9" w:rsidR="004D2321" w:rsidRPr="00E402D1" w:rsidRDefault="00A855C4" w:rsidP="004D2321">
      <w:pPr>
        <w:pStyle w:val="Caption"/>
        <w:rPr>
          <w:rFonts w:ascii="Times New Roman" w:hAnsi="Times New Roman" w:cs="Times New Roman"/>
        </w:rPr>
      </w:pPr>
      <w:r>
        <w:rPr>
          <w:noProof/>
        </w:rPr>
        <w:lastRenderedPageBreak/>
        <mc:AlternateContent>
          <mc:Choice Requires="wps">
            <w:drawing>
              <wp:anchor distT="0" distB="0" distL="114300" distR="114300" simplePos="0" relativeHeight="251792384" behindDoc="1" locked="0" layoutInCell="1" allowOverlap="1" wp14:anchorId="2BF95F5B" wp14:editId="476E5123">
                <wp:simplePos x="0" y="0"/>
                <wp:positionH relativeFrom="column">
                  <wp:posOffset>0</wp:posOffset>
                </wp:positionH>
                <wp:positionV relativeFrom="paragraph">
                  <wp:posOffset>4548505</wp:posOffset>
                </wp:positionV>
                <wp:extent cx="5897880" cy="635"/>
                <wp:effectExtent l="0" t="0" r="0" b="12065"/>
                <wp:wrapTight wrapText="bothSides">
                  <wp:wrapPolygon edited="0">
                    <wp:start x="0" y="0"/>
                    <wp:lineTo x="0" y="0"/>
                    <wp:lineTo x="21535" y="0"/>
                    <wp:lineTo x="21535" y="0"/>
                    <wp:lineTo x="0" y="0"/>
                  </wp:wrapPolygon>
                </wp:wrapTight>
                <wp:docPr id="1178543639" name="Text Box 1"/>
                <wp:cNvGraphicFramePr/>
                <a:graphic xmlns:a="http://schemas.openxmlformats.org/drawingml/2006/main">
                  <a:graphicData uri="http://schemas.microsoft.com/office/word/2010/wordprocessingShape">
                    <wps:wsp>
                      <wps:cNvSpPr txBox="1"/>
                      <wps:spPr>
                        <a:xfrm>
                          <a:off x="0" y="0"/>
                          <a:ext cx="5897880" cy="635"/>
                        </a:xfrm>
                        <a:prstGeom prst="rect">
                          <a:avLst/>
                        </a:prstGeom>
                        <a:solidFill>
                          <a:prstClr val="white"/>
                        </a:solidFill>
                        <a:ln>
                          <a:noFill/>
                        </a:ln>
                      </wps:spPr>
                      <wps:txbx>
                        <w:txbxContent>
                          <w:p w14:paraId="7C695F08" w14:textId="3E1284B4" w:rsidR="00A855C4" w:rsidRPr="00491D83" w:rsidRDefault="00A855C4" w:rsidP="00A855C4">
                            <w:pPr>
                              <w:pStyle w:val="Caption"/>
                              <w:rPr>
                                <w:rFonts w:ascii="Times New Roman" w:hAnsi="Times New Roman" w:cs="Times New Roman"/>
                                <w:b w:val="0"/>
                                <w:bCs w:val="0"/>
                                <w:noProof/>
                              </w:rPr>
                            </w:pPr>
                            <w:bookmarkStart w:id="33" w:name="_Toc165024861"/>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4</w:t>
                            </w:r>
                            <w:r w:rsidRPr="00491D83">
                              <w:rPr>
                                <w:rFonts w:ascii="Times New Roman" w:hAnsi="Times New Roman" w:cs="Times New Roman"/>
                                <w:b w:val="0"/>
                                <w:bCs w:val="0"/>
                              </w:rPr>
                              <w:fldChar w:fldCharType="end"/>
                            </w:r>
                            <w:r w:rsidRPr="00491D83">
                              <w:rPr>
                                <w:rFonts w:ascii="Times New Roman" w:hAnsi="Times New Roman" w:cs="Times New Roman"/>
                                <w:b w:val="0"/>
                                <w:bCs w:val="0"/>
                              </w:rPr>
                              <w:t>: Host phylogeny (left) and hierarchical clustering of the Horn dissimilarity (right).</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F95F5B" id="_x0000_s1029" type="#_x0000_t202" style="position:absolute;margin-left:0;margin-top:358.15pt;width:464.4pt;height:.05pt;z-index:-25152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" stroked="f">
                <v:textbox style="mso-fit-shape-to-text:t" inset="0,0,0,0">
                  <w:txbxContent>
                    <w:p w14:paraId="7C695F08" w14:textId="3E1284B4" w:rsidR="00A855C4" w:rsidRPr="00491D83" w:rsidRDefault="00A855C4" w:rsidP="00A855C4">
                      <w:pPr>
                        <w:pStyle w:val="Caption"/>
                        <w:rPr>
                          <w:rFonts w:ascii="Times New Roman" w:hAnsi="Times New Roman" w:cs="Times New Roman"/>
                          <w:b w:val="0"/>
                          <w:bCs w:val="0"/>
                          <w:noProof/>
                        </w:rPr>
                      </w:pPr>
                      <w:bookmarkStart w:id="34" w:name="_Toc165024861"/>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4</w:t>
                      </w:r>
                      <w:r w:rsidRPr="00491D83">
                        <w:rPr>
                          <w:rFonts w:ascii="Times New Roman" w:hAnsi="Times New Roman" w:cs="Times New Roman"/>
                          <w:b w:val="0"/>
                          <w:bCs w:val="0"/>
                        </w:rPr>
                        <w:fldChar w:fldCharType="end"/>
                      </w:r>
                      <w:r w:rsidRPr="00491D83">
                        <w:rPr>
                          <w:rFonts w:ascii="Times New Roman" w:hAnsi="Times New Roman" w:cs="Times New Roman"/>
                          <w:b w:val="0"/>
                          <w:bCs w:val="0"/>
                        </w:rPr>
                        <w:t>: Host phylogeny (left) and hierarchical clustering of the Horn dissimilarity (right).</w:t>
                      </w:r>
                      <w:bookmarkEnd w:id="34"/>
                    </w:p>
                  </w:txbxContent>
                </v:textbox>
                <w10:wrap type="tight"/>
              </v:shape>
            </w:pict>
          </mc:Fallback>
        </mc:AlternateContent>
      </w:r>
      <w:r w:rsidR="004D2321">
        <w:rPr>
          <w:noProof/>
        </w:rPr>
        <w:drawing>
          <wp:anchor distT="0" distB="0" distL="114300" distR="114300" simplePos="0" relativeHeight="251790336" behindDoc="1" locked="0" layoutInCell="1" allowOverlap="1" wp14:anchorId="7F0E801A" wp14:editId="74B73B63">
            <wp:simplePos x="0" y="0"/>
            <wp:positionH relativeFrom="column">
              <wp:posOffset>0</wp:posOffset>
            </wp:positionH>
            <wp:positionV relativeFrom="paragraph">
              <wp:posOffset>71755</wp:posOffset>
            </wp:positionV>
            <wp:extent cx="5897880" cy="4419600"/>
            <wp:effectExtent l="0" t="0" r="0" b="0"/>
            <wp:wrapTight wrapText="bothSides">
              <wp:wrapPolygon edited="0">
                <wp:start x="0" y="0"/>
                <wp:lineTo x="0" y="21538"/>
                <wp:lineTo x="21535" y="21538"/>
                <wp:lineTo x="21535" y="0"/>
                <wp:lineTo x="0" y="0"/>
              </wp:wrapPolygon>
            </wp:wrapTight>
            <wp:docPr id="858386415" name="Picture 3">
              <a:extLst xmlns:a="http://schemas.openxmlformats.org/drawingml/2006/main">
                <a:ext uri="{FF2B5EF4-FFF2-40B4-BE49-F238E27FC236}">
                  <a16:creationId xmlns:a16="http://schemas.microsoft.com/office/drawing/2014/main" id="{8D5ED95E-3DEB-BD38-F055-CD3417D71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D5ED95E-3DEB-BD38-F055-CD3417D71F4D}"/>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897880" cy="4419600"/>
                    </a:xfrm>
                    <a:prstGeom prst="rect">
                      <a:avLst/>
                    </a:prstGeom>
                  </pic:spPr>
                </pic:pic>
              </a:graphicData>
            </a:graphic>
            <wp14:sizeRelH relativeFrom="page">
              <wp14:pctWidth>0</wp14:pctWidth>
            </wp14:sizeRelH>
            <wp14:sizeRelV relativeFrom="page">
              <wp14:pctHeight>0</wp14:pctHeight>
            </wp14:sizeRelV>
          </wp:anchor>
        </w:drawing>
      </w:r>
      <w:r w:rsidR="004D2321" w:rsidRPr="004D2321">
        <w:rPr>
          <w:rFonts w:ascii="Times New Roman" w:hAnsi="Times New Roman" w:cs="Times New Roman"/>
        </w:rPr>
        <w:t xml:space="preserve"> </w:t>
      </w:r>
    </w:p>
    <w:p w14:paraId="308B4D60" w14:textId="77777777" w:rsidR="004D2321" w:rsidRDefault="004D2321">
      <w:pPr>
        <w:rPr>
          <w:rFonts w:ascii="Times New Roman" w:hAnsi="Times New Roman" w:cs="Times New Roman"/>
          <w:b/>
          <w:bCs/>
          <w:i/>
        </w:rPr>
      </w:pPr>
      <w:r>
        <w:rPr>
          <w:rFonts w:ascii="Times New Roman" w:hAnsi="Times New Roman" w:cs="Times New Roman"/>
        </w:rPr>
        <w:br w:type="page"/>
      </w:r>
    </w:p>
    <w:p w14:paraId="2C685B5D" w14:textId="2822F39D" w:rsidR="004D2321" w:rsidRPr="00E402D1" w:rsidRDefault="00CF17E1" w:rsidP="004D2321">
      <w:pPr>
        <w:pStyle w:val="Caption"/>
        <w:rPr>
          <w:rFonts w:ascii="Times New Roman" w:hAnsi="Times New Roman" w:cs="Times New Roman"/>
        </w:rPr>
      </w:pPr>
      <w:r w:rsidRPr="009963EA">
        <w:rPr>
          <w:rFonts w:ascii="Times New Roman" w:hAnsi="Times New Roman" w:cs="Times New Roman"/>
          <w:noProof/>
        </w:rPr>
        <w:lastRenderedPageBreak/>
        <w:drawing>
          <wp:anchor distT="0" distB="0" distL="114300" distR="114300" simplePos="0" relativeHeight="251793408" behindDoc="1" locked="0" layoutInCell="1" allowOverlap="1" wp14:anchorId="5C4D58E7" wp14:editId="22AC074F">
            <wp:simplePos x="0" y="0"/>
            <wp:positionH relativeFrom="column">
              <wp:posOffset>-57905</wp:posOffset>
            </wp:positionH>
            <wp:positionV relativeFrom="paragraph">
              <wp:posOffset>377</wp:posOffset>
            </wp:positionV>
            <wp:extent cx="5922645" cy="4441190"/>
            <wp:effectExtent l="0" t="0" r="0" b="3810"/>
            <wp:wrapTight wrapText="bothSides">
              <wp:wrapPolygon edited="0">
                <wp:start x="1482" y="62"/>
                <wp:lineTo x="695" y="494"/>
                <wp:lineTo x="695" y="741"/>
                <wp:lineTo x="1482" y="1174"/>
                <wp:lineTo x="1482" y="4138"/>
                <wp:lineTo x="926" y="4633"/>
                <wp:lineTo x="695" y="4880"/>
                <wp:lineTo x="741" y="5127"/>
                <wp:lineTo x="1436" y="6115"/>
                <wp:lineTo x="278" y="6486"/>
                <wp:lineTo x="46" y="6609"/>
                <wp:lineTo x="93" y="12353"/>
                <wp:lineTo x="1065" y="13033"/>
                <wp:lineTo x="1482" y="13033"/>
                <wp:lineTo x="741" y="13465"/>
                <wp:lineTo x="741" y="13774"/>
                <wp:lineTo x="1482" y="14021"/>
                <wp:lineTo x="1482" y="16986"/>
                <wp:lineTo x="880" y="17851"/>
                <wp:lineTo x="880" y="18036"/>
                <wp:lineTo x="1482" y="18963"/>
                <wp:lineTo x="1528" y="19333"/>
                <wp:lineTo x="1853" y="19951"/>
                <wp:lineTo x="2038" y="19951"/>
                <wp:lineTo x="2038" y="20383"/>
                <wp:lineTo x="7179" y="20939"/>
                <wp:lineTo x="10097" y="20939"/>
                <wp:lineTo x="10143" y="21433"/>
                <wp:lineTo x="12598" y="21557"/>
                <wp:lineTo x="12876" y="21557"/>
                <wp:lineTo x="13015" y="21063"/>
                <wp:lineTo x="12552" y="20939"/>
                <wp:lineTo x="10792" y="20939"/>
                <wp:lineTo x="21306" y="20692"/>
                <wp:lineTo x="21445" y="20074"/>
                <wp:lineTo x="20565" y="19951"/>
                <wp:lineTo x="21491" y="19457"/>
                <wp:lineTo x="21537" y="18777"/>
                <wp:lineTo x="21074" y="18468"/>
                <wp:lineTo x="20287" y="17974"/>
                <wp:lineTo x="21399" y="17974"/>
                <wp:lineTo x="21445" y="17851"/>
                <wp:lineTo x="20518" y="16986"/>
                <wp:lineTo x="20704" y="16986"/>
                <wp:lineTo x="21074" y="16307"/>
                <wp:lineTo x="21074" y="14948"/>
                <wp:lineTo x="20889" y="14639"/>
                <wp:lineTo x="20472" y="14021"/>
                <wp:lineTo x="21445" y="13651"/>
                <wp:lineTo x="21445" y="13527"/>
                <wp:lineTo x="20333" y="13033"/>
                <wp:lineTo x="20287" y="10068"/>
                <wp:lineTo x="21445" y="9265"/>
                <wp:lineTo x="21445" y="9203"/>
                <wp:lineTo x="20287" y="9080"/>
                <wp:lineTo x="20287" y="5127"/>
                <wp:lineTo x="21445" y="5003"/>
                <wp:lineTo x="21445" y="4941"/>
                <wp:lineTo x="20287" y="4138"/>
                <wp:lineTo x="20287" y="1174"/>
                <wp:lineTo x="21445" y="679"/>
                <wp:lineTo x="21445" y="556"/>
                <wp:lineTo x="20287" y="62"/>
                <wp:lineTo x="1482" y="62"/>
              </wp:wrapPolygon>
            </wp:wrapTight>
            <wp:docPr id="10" name="Picture 9">
              <a:extLst xmlns:a="http://schemas.openxmlformats.org/drawingml/2006/main">
                <a:ext uri="{FF2B5EF4-FFF2-40B4-BE49-F238E27FC236}">
                  <a16:creationId xmlns:a16="http://schemas.microsoft.com/office/drawing/2014/main" id="{F69EFABC-059E-96EE-889D-2B79AD20C0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69EFABC-059E-96EE-889D-2B79AD20C06E}"/>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922645" cy="4441190"/>
                    </a:xfrm>
                    <a:prstGeom prst="rect">
                      <a:avLst/>
                    </a:prstGeom>
                  </pic:spPr>
                </pic:pic>
              </a:graphicData>
            </a:graphic>
            <wp14:sizeRelH relativeFrom="page">
              <wp14:pctWidth>0</wp14:pctWidth>
            </wp14:sizeRelH>
            <wp14:sizeRelV relativeFrom="page">
              <wp14:pctHeight>0</wp14:pctHeight>
            </wp14:sizeRelV>
          </wp:anchor>
        </w:drawing>
      </w:r>
    </w:p>
    <w:p w14:paraId="64985CE5" w14:textId="2907B7CD" w:rsidR="004D2321" w:rsidRDefault="00A855C4">
      <w:pPr>
        <w:rPr>
          <w:rFonts w:ascii="Times New Roman" w:hAnsi="Times New Roman" w:cs="Times New Roman"/>
          <w:b/>
          <w:bCs/>
          <w:i/>
        </w:rPr>
      </w:pPr>
      <w:r>
        <w:rPr>
          <w:noProof/>
        </w:rPr>
        <mc:AlternateContent>
          <mc:Choice Requires="wps">
            <w:drawing>
              <wp:anchor distT="0" distB="0" distL="114300" distR="114300" simplePos="0" relativeHeight="251795456" behindDoc="1" locked="0" layoutInCell="1" allowOverlap="1" wp14:anchorId="5F8B718B" wp14:editId="00AE79DE">
                <wp:simplePos x="0" y="0"/>
                <wp:positionH relativeFrom="column">
                  <wp:posOffset>0</wp:posOffset>
                </wp:positionH>
                <wp:positionV relativeFrom="paragraph">
                  <wp:posOffset>3937223</wp:posOffset>
                </wp:positionV>
                <wp:extent cx="5922645" cy="635"/>
                <wp:effectExtent l="0" t="0" r="0" b="12065"/>
                <wp:wrapTight wrapText="bothSides">
                  <wp:wrapPolygon edited="0">
                    <wp:start x="0" y="0"/>
                    <wp:lineTo x="0" y="0"/>
                    <wp:lineTo x="21537" y="0"/>
                    <wp:lineTo x="21537" y="0"/>
                    <wp:lineTo x="0" y="0"/>
                  </wp:wrapPolygon>
                </wp:wrapTight>
                <wp:docPr id="73074584" name="Text Box 1"/>
                <wp:cNvGraphicFramePr/>
                <a:graphic xmlns:a="http://schemas.openxmlformats.org/drawingml/2006/main">
                  <a:graphicData uri="http://schemas.microsoft.com/office/word/2010/wordprocessingShape">
                    <wps:wsp>
                      <wps:cNvSpPr txBox="1"/>
                      <wps:spPr>
                        <a:xfrm>
                          <a:off x="0" y="0"/>
                          <a:ext cx="5922645" cy="635"/>
                        </a:xfrm>
                        <a:prstGeom prst="rect">
                          <a:avLst/>
                        </a:prstGeom>
                        <a:solidFill>
                          <a:prstClr val="white"/>
                        </a:solidFill>
                        <a:ln>
                          <a:noFill/>
                        </a:ln>
                      </wps:spPr>
                      <wps:txbx>
                        <w:txbxContent>
                          <w:p w14:paraId="30F41D1E" w14:textId="0A34F05A" w:rsidR="00A855C4" w:rsidRPr="00491D83" w:rsidRDefault="00A855C4" w:rsidP="00A855C4">
                            <w:pPr>
                              <w:pStyle w:val="Caption"/>
                              <w:rPr>
                                <w:rFonts w:ascii="Times New Roman" w:hAnsi="Times New Roman" w:cs="Times New Roman"/>
                                <w:b w:val="0"/>
                                <w:bCs w:val="0"/>
                                <w:noProof/>
                              </w:rPr>
                            </w:pPr>
                            <w:bookmarkStart w:id="35" w:name="_Toc165024862"/>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5</w:t>
                            </w:r>
                            <w:r w:rsidRPr="00491D83">
                              <w:rPr>
                                <w:rFonts w:ascii="Times New Roman" w:hAnsi="Times New Roman" w:cs="Times New Roman"/>
                                <w:b w:val="0"/>
                                <w:bCs w:val="0"/>
                              </w:rPr>
                              <w:fldChar w:fldCharType="end"/>
                            </w:r>
                            <w:r w:rsidRPr="00491D83">
                              <w:rPr>
                                <w:rFonts w:ascii="Times New Roman" w:hAnsi="Times New Roman" w:cs="Times New Roman"/>
                                <w:b w:val="0"/>
                                <w:bCs w:val="0"/>
                              </w:rPr>
                              <w:t>: Alpha Diversity estimates for communities on salamanders, terrestrial cover objects, and aquatic cover objects at three orders of diversity.</w:t>
                            </w:r>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8B718B" id="_x0000_s1030" type="#_x0000_t202" style="position:absolute;margin-left:0;margin-top:310pt;width:466.35pt;height:.05pt;z-index:-25152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" stroked="f">
                <v:textbox style="mso-fit-shape-to-text:t" inset="0,0,0,0">
                  <w:txbxContent>
                    <w:p w14:paraId="30F41D1E" w14:textId="0A34F05A" w:rsidR="00A855C4" w:rsidRPr="00491D83" w:rsidRDefault="00A855C4" w:rsidP="00A855C4">
                      <w:pPr>
                        <w:pStyle w:val="Caption"/>
                        <w:rPr>
                          <w:rFonts w:ascii="Times New Roman" w:hAnsi="Times New Roman" w:cs="Times New Roman"/>
                          <w:b w:val="0"/>
                          <w:bCs w:val="0"/>
                          <w:noProof/>
                        </w:rPr>
                      </w:pPr>
                      <w:bookmarkStart w:id="36" w:name="_Toc165024862"/>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5</w:t>
                      </w:r>
                      <w:r w:rsidRPr="00491D83">
                        <w:rPr>
                          <w:rFonts w:ascii="Times New Roman" w:hAnsi="Times New Roman" w:cs="Times New Roman"/>
                          <w:b w:val="0"/>
                          <w:bCs w:val="0"/>
                        </w:rPr>
                        <w:fldChar w:fldCharType="end"/>
                      </w:r>
                      <w:r w:rsidRPr="00491D83">
                        <w:rPr>
                          <w:rFonts w:ascii="Times New Roman" w:hAnsi="Times New Roman" w:cs="Times New Roman"/>
                          <w:b w:val="0"/>
                          <w:bCs w:val="0"/>
                        </w:rPr>
                        <w:t>: Alpha Diversity estimates for communities on salamanders, terrestrial cover objects, and aquatic cover objects at three orders of diversity.</w:t>
                      </w:r>
                      <w:bookmarkEnd w:id="36"/>
                    </w:p>
                  </w:txbxContent>
                </v:textbox>
                <w10:wrap type="tight"/>
              </v:shape>
            </w:pict>
          </mc:Fallback>
        </mc:AlternateContent>
      </w:r>
      <w:r w:rsidR="004D2321">
        <w:rPr>
          <w:rFonts w:ascii="Times New Roman" w:hAnsi="Times New Roman" w:cs="Times New Roman"/>
        </w:rPr>
        <w:br w:type="page"/>
      </w:r>
    </w:p>
    <w:p w14:paraId="3188158D" w14:textId="77777777" w:rsidR="000B341F" w:rsidRDefault="000B341F" w:rsidP="00FB3A19">
      <w:pPr>
        <w:spacing w:line="360" w:lineRule="auto"/>
        <w:rPr>
          <w:rFonts w:ascii="Times New Roman" w:hAnsi="Times New Roman" w:cs="Times New Roman"/>
        </w:rPr>
      </w:pPr>
    </w:p>
    <w:p w14:paraId="19652461" w14:textId="6184ABD8" w:rsidR="000B341F" w:rsidRDefault="000B341F">
      <w:pPr>
        <w:rPr>
          <w:rFonts w:ascii="Times New Roman" w:hAnsi="Times New Roman" w:cs="Times New Roman"/>
        </w:rPr>
      </w:pPr>
      <w:r>
        <w:rPr>
          <w:rFonts w:ascii="Times New Roman" w:hAnsi="Times New Roman" w:cs="Times New Roman"/>
        </w:rPr>
        <w:br w:type="page"/>
      </w:r>
      <w:r w:rsidRPr="009963EA">
        <w:rPr>
          <w:rFonts w:ascii="Times New Roman" w:hAnsi="Times New Roman" w:cs="Times New Roman"/>
          <w:noProof/>
        </w:rPr>
        <w:drawing>
          <wp:anchor distT="0" distB="0" distL="114300" distR="114300" simplePos="0" relativeHeight="251805696" behindDoc="1" locked="0" layoutInCell="1" allowOverlap="1" wp14:anchorId="06B814EC" wp14:editId="5F0759A1">
            <wp:simplePos x="0" y="0"/>
            <wp:positionH relativeFrom="column">
              <wp:posOffset>0</wp:posOffset>
            </wp:positionH>
            <wp:positionV relativeFrom="paragraph">
              <wp:posOffset>182245</wp:posOffset>
            </wp:positionV>
            <wp:extent cx="5916295" cy="4572000"/>
            <wp:effectExtent l="0" t="0" r="0" b="0"/>
            <wp:wrapTight wrapText="bothSides">
              <wp:wrapPolygon edited="0">
                <wp:start x="2875" y="60"/>
                <wp:lineTo x="2875" y="2100"/>
                <wp:lineTo x="1159" y="2340"/>
                <wp:lineTo x="1159" y="2400"/>
                <wp:lineTo x="2875" y="3060"/>
                <wp:lineTo x="2875" y="4020"/>
                <wp:lineTo x="649" y="4620"/>
                <wp:lineTo x="649" y="4980"/>
                <wp:lineTo x="2875" y="4980"/>
                <wp:lineTo x="2875" y="6900"/>
                <wp:lineTo x="1159" y="7140"/>
                <wp:lineTo x="1159" y="7200"/>
                <wp:lineTo x="2875" y="7860"/>
                <wp:lineTo x="2875" y="8820"/>
                <wp:lineTo x="232" y="8940"/>
                <wp:lineTo x="46" y="9360"/>
                <wp:lineTo x="46" y="11280"/>
                <wp:lineTo x="556" y="11460"/>
                <wp:lineTo x="2875" y="11700"/>
                <wp:lineTo x="1159" y="11880"/>
                <wp:lineTo x="1159" y="12000"/>
                <wp:lineTo x="2875" y="12660"/>
                <wp:lineTo x="2875" y="13620"/>
                <wp:lineTo x="649" y="14280"/>
                <wp:lineTo x="649" y="14580"/>
                <wp:lineTo x="2875" y="14580"/>
                <wp:lineTo x="2875" y="16500"/>
                <wp:lineTo x="1159" y="16680"/>
                <wp:lineTo x="1159" y="16740"/>
                <wp:lineTo x="2875" y="17460"/>
                <wp:lineTo x="2875" y="18420"/>
                <wp:lineTo x="649" y="19080"/>
                <wp:lineTo x="649" y="19380"/>
                <wp:lineTo x="2318" y="19380"/>
                <wp:lineTo x="2365" y="20100"/>
                <wp:lineTo x="5147" y="20340"/>
                <wp:lineTo x="5147" y="20460"/>
                <wp:lineTo x="11128" y="21360"/>
                <wp:lineTo x="11314" y="21360"/>
                <wp:lineTo x="20494" y="20520"/>
                <wp:lineTo x="20587" y="19860"/>
                <wp:lineTo x="20541" y="19440"/>
                <wp:lineTo x="21468" y="19200"/>
                <wp:lineTo x="21468" y="19140"/>
                <wp:lineTo x="20355" y="18420"/>
                <wp:lineTo x="20355" y="17460"/>
                <wp:lineTo x="21468" y="16800"/>
                <wp:lineTo x="21468" y="16680"/>
                <wp:lineTo x="20355" y="16500"/>
                <wp:lineTo x="20355" y="14580"/>
                <wp:lineTo x="21468" y="14460"/>
                <wp:lineTo x="21468" y="14340"/>
                <wp:lineTo x="20355" y="13620"/>
                <wp:lineTo x="20355" y="12660"/>
                <wp:lineTo x="21468" y="12060"/>
                <wp:lineTo x="21468" y="11880"/>
                <wp:lineTo x="20355" y="11700"/>
                <wp:lineTo x="20355" y="9780"/>
                <wp:lineTo x="21468" y="9660"/>
                <wp:lineTo x="21468" y="9540"/>
                <wp:lineTo x="20355" y="8820"/>
                <wp:lineTo x="20355" y="7860"/>
                <wp:lineTo x="21468" y="7260"/>
                <wp:lineTo x="21468" y="7200"/>
                <wp:lineTo x="20355" y="6900"/>
                <wp:lineTo x="20355" y="4980"/>
                <wp:lineTo x="21468" y="4860"/>
                <wp:lineTo x="21468" y="4800"/>
                <wp:lineTo x="20355" y="4020"/>
                <wp:lineTo x="20355" y="3060"/>
                <wp:lineTo x="21468" y="2460"/>
                <wp:lineTo x="21468" y="2400"/>
                <wp:lineTo x="20355" y="2100"/>
                <wp:lineTo x="20355" y="60"/>
                <wp:lineTo x="2875" y="60"/>
              </wp:wrapPolygon>
            </wp:wrapTight>
            <wp:docPr id="419673645" name="Picture 3">
              <a:extLst xmlns:a="http://schemas.openxmlformats.org/drawingml/2006/main">
                <a:ext uri="{FF2B5EF4-FFF2-40B4-BE49-F238E27FC236}">
                  <a16:creationId xmlns:a16="http://schemas.microsoft.com/office/drawing/2014/main" id="{100A16E8-F514-AA1D-E075-81E91879E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00A16E8-F514-AA1D-E075-81E91879E8BA}"/>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916295" cy="4572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06720" behindDoc="1" locked="0" layoutInCell="1" allowOverlap="1" wp14:anchorId="380662A9" wp14:editId="6803B9D2">
                <wp:simplePos x="0" y="0"/>
                <wp:positionH relativeFrom="column">
                  <wp:posOffset>0</wp:posOffset>
                </wp:positionH>
                <wp:positionV relativeFrom="paragraph">
                  <wp:posOffset>4811395</wp:posOffset>
                </wp:positionV>
                <wp:extent cx="5916295" cy="635"/>
                <wp:effectExtent l="0" t="0" r="1905" b="12065"/>
                <wp:wrapTight wrapText="bothSides">
                  <wp:wrapPolygon edited="0">
                    <wp:start x="0" y="0"/>
                    <wp:lineTo x="0" y="0"/>
                    <wp:lineTo x="21561" y="0"/>
                    <wp:lineTo x="21561" y="0"/>
                    <wp:lineTo x="0" y="0"/>
                  </wp:wrapPolygon>
                </wp:wrapTight>
                <wp:docPr id="521609054" name="Text Box 1"/>
                <wp:cNvGraphicFramePr/>
                <a:graphic xmlns:a="http://schemas.openxmlformats.org/drawingml/2006/main">
                  <a:graphicData uri="http://schemas.microsoft.com/office/word/2010/wordprocessingShape">
                    <wps:wsp>
                      <wps:cNvSpPr txBox="1"/>
                      <wps:spPr>
                        <a:xfrm>
                          <a:off x="0" y="0"/>
                          <a:ext cx="5916295" cy="635"/>
                        </a:xfrm>
                        <a:prstGeom prst="rect">
                          <a:avLst/>
                        </a:prstGeom>
                        <a:solidFill>
                          <a:prstClr val="white"/>
                        </a:solidFill>
                        <a:ln>
                          <a:noFill/>
                        </a:ln>
                      </wps:spPr>
                      <wps:txbx>
                        <w:txbxContent>
                          <w:p w14:paraId="7B21C11A" w14:textId="6413566F" w:rsidR="000B341F" w:rsidRPr="00491D83" w:rsidRDefault="000B341F" w:rsidP="000B341F">
                            <w:pPr>
                              <w:pStyle w:val="Caption"/>
                              <w:rPr>
                                <w:rFonts w:ascii="Times New Roman" w:hAnsi="Times New Roman" w:cs="Times New Roman"/>
                                <w:b w:val="0"/>
                                <w:bCs w:val="0"/>
                                <w:noProof/>
                              </w:rPr>
                            </w:pPr>
                            <w:bookmarkStart w:id="37" w:name="_Toc165024863"/>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6</w:t>
                            </w:r>
                            <w:r w:rsidRPr="00491D83">
                              <w:rPr>
                                <w:rFonts w:ascii="Times New Roman" w:hAnsi="Times New Roman" w:cs="Times New Roman"/>
                                <w:b w:val="0"/>
                                <w:bCs w:val="0"/>
                              </w:rPr>
                              <w:fldChar w:fldCharType="end"/>
                            </w:r>
                            <w:r w:rsidRPr="00491D83">
                              <w:rPr>
                                <w:rFonts w:ascii="Times New Roman" w:hAnsi="Times New Roman" w:cs="Times New Roman"/>
                                <w:b w:val="0"/>
                                <w:bCs w:val="0"/>
                              </w:rPr>
                              <w:t>: Distribution of point biserial correlation coefficients describing strength of association of ASVs and salamander hosts.</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0662A9" id="_x0000_s1031" type="#_x0000_t202" style="position:absolute;margin-left:0;margin-top:378.85pt;width:465.85pt;height:.05pt;z-index:-25150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" stroked="f">
                <v:textbox style="mso-fit-shape-to-text:t" inset="0,0,0,0">
                  <w:txbxContent>
                    <w:p w14:paraId="7B21C11A" w14:textId="6413566F" w:rsidR="000B341F" w:rsidRPr="00491D83" w:rsidRDefault="000B341F" w:rsidP="000B341F">
                      <w:pPr>
                        <w:pStyle w:val="Caption"/>
                        <w:rPr>
                          <w:rFonts w:ascii="Times New Roman" w:hAnsi="Times New Roman" w:cs="Times New Roman"/>
                          <w:b w:val="0"/>
                          <w:bCs w:val="0"/>
                          <w:noProof/>
                        </w:rPr>
                      </w:pPr>
                      <w:bookmarkStart w:id="38" w:name="_Toc165024863"/>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6</w:t>
                      </w:r>
                      <w:r w:rsidRPr="00491D83">
                        <w:rPr>
                          <w:rFonts w:ascii="Times New Roman" w:hAnsi="Times New Roman" w:cs="Times New Roman"/>
                          <w:b w:val="0"/>
                          <w:bCs w:val="0"/>
                        </w:rPr>
                        <w:fldChar w:fldCharType="end"/>
                      </w:r>
                      <w:r w:rsidRPr="00491D83">
                        <w:rPr>
                          <w:rFonts w:ascii="Times New Roman" w:hAnsi="Times New Roman" w:cs="Times New Roman"/>
                          <w:b w:val="0"/>
                          <w:bCs w:val="0"/>
                        </w:rPr>
                        <w:t>: Distribution of point biserial correlation coefficients describing strength of association of ASVs and salamander hosts.</w:t>
                      </w:r>
                      <w:bookmarkEnd w:id="38"/>
                    </w:p>
                  </w:txbxContent>
                </v:textbox>
                <w10:wrap type="tight"/>
              </v:shape>
            </w:pict>
          </mc:Fallback>
        </mc:AlternateContent>
      </w:r>
    </w:p>
    <w:p w14:paraId="57A51E98" w14:textId="485129ED" w:rsidR="00415D20" w:rsidRPr="00415D20" w:rsidRDefault="00415D20" w:rsidP="00415D20">
      <w:pPr>
        <w:pStyle w:val="Caption"/>
        <w:jc w:val="center"/>
        <w:rPr>
          <w:rFonts w:ascii="Times New Roman" w:hAnsi="Times New Roman" w:cs="Times New Roman"/>
          <w:b w:val="0"/>
          <w:bCs w:val="0"/>
        </w:rPr>
      </w:pPr>
      <w:bookmarkStart w:id="39" w:name="_Toc165028992"/>
      <w:r w:rsidRPr="00415D20">
        <w:rPr>
          <w:rFonts w:ascii="Times New Roman" w:hAnsi="Times New Roman" w:cs="Times New Roman"/>
          <w:b w:val="0"/>
          <w:bCs w:val="0"/>
        </w:rPr>
        <w:lastRenderedPageBreak/>
        <w:t xml:space="preserve">Table </w:t>
      </w:r>
      <w:r w:rsidR="00122B3E">
        <w:rPr>
          <w:rFonts w:ascii="Times New Roman" w:hAnsi="Times New Roman" w:cs="Times New Roman"/>
          <w:b w:val="0"/>
          <w:bCs w:val="0"/>
        </w:rPr>
        <w:fldChar w:fldCharType="begin"/>
      </w:r>
      <w:r w:rsidR="00122B3E">
        <w:rPr>
          <w:rFonts w:ascii="Times New Roman" w:hAnsi="Times New Roman" w:cs="Times New Roman"/>
          <w:b w:val="0"/>
          <w:bCs w:val="0"/>
        </w:rPr>
        <w:instrText xml:space="preserve"> SEQ Table \* ARABIC </w:instrText>
      </w:r>
      <w:r w:rsidR="00122B3E">
        <w:rPr>
          <w:rFonts w:ascii="Times New Roman" w:hAnsi="Times New Roman" w:cs="Times New Roman"/>
          <w:b w:val="0"/>
          <w:bCs w:val="0"/>
        </w:rPr>
        <w:fldChar w:fldCharType="separate"/>
      </w:r>
      <w:r w:rsidR="001648DD">
        <w:rPr>
          <w:rFonts w:ascii="Times New Roman" w:hAnsi="Times New Roman" w:cs="Times New Roman"/>
          <w:b w:val="0"/>
          <w:bCs w:val="0"/>
          <w:noProof/>
        </w:rPr>
        <w:t>2</w:t>
      </w:r>
      <w:r w:rsidR="00122B3E">
        <w:rPr>
          <w:rFonts w:ascii="Times New Roman" w:hAnsi="Times New Roman" w:cs="Times New Roman"/>
          <w:b w:val="0"/>
          <w:bCs w:val="0"/>
        </w:rPr>
        <w:fldChar w:fldCharType="end"/>
      </w:r>
      <w:r w:rsidRPr="00415D20">
        <w:rPr>
          <w:rFonts w:ascii="Times New Roman" w:hAnsi="Times New Roman" w:cs="Times New Roman"/>
          <w:b w:val="0"/>
          <w:bCs w:val="0"/>
        </w:rPr>
        <w:t>: Taxonomic information of indicator species and the strength of association</w:t>
      </w:r>
      <w:bookmarkEnd w:id="39"/>
    </w:p>
    <w:p w14:paraId="381FB96C" w14:textId="77777777" w:rsidR="000B341F" w:rsidRDefault="000B341F">
      <w:pPr>
        <w:rPr>
          <w:rFonts w:ascii="Times New Roman" w:hAnsi="Times New Roman" w:cs="Times New Roman"/>
        </w:rPr>
      </w:pPr>
    </w:p>
    <w:tbl>
      <w:tblPr>
        <w:tblW w:w="7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2296"/>
        <w:gridCol w:w="2123"/>
        <w:gridCol w:w="1356"/>
      </w:tblGrid>
      <w:tr w:rsidR="00415D20" w:rsidRPr="00014805" w14:paraId="76E1F7B8" w14:textId="77777777" w:rsidTr="00415D20">
        <w:trPr>
          <w:trHeight w:val="320"/>
          <w:jc w:val="center"/>
        </w:trPr>
        <w:tc>
          <w:tcPr>
            <w:tcW w:w="2136" w:type="dxa"/>
            <w:shd w:val="clear" w:color="000000" w:fill="D0CECE"/>
            <w:noWrap/>
            <w:vAlign w:val="center"/>
            <w:hideMark/>
          </w:tcPr>
          <w:p w14:paraId="0AC08921" w14:textId="77777777" w:rsidR="00415D20" w:rsidRPr="00014805" w:rsidRDefault="00415D20" w:rsidP="00415D20">
            <w:pPr>
              <w:jc w:val="center"/>
              <w:rPr>
                <w:rFonts w:ascii="Times New Roman" w:hAnsi="Times New Roman" w:cs="Times New Roman"/>
                <w:b/>
                <w:bCs/>
                <w:color w:val="000000"/>
              </w:rPr>
            </w:pPr>
            <w:r w:rsidRPr="00014805">
              <w:rPr>
                <w:rFonts w:ascii="Times New Roman" w:hAnsi="Times New Roman" w:cs="Times New Roman"/>
                <w:b/>
                <w:bCs/>
                <w:color w:val="000000"/>
              </w:rPr>
              <w:t>Order</w:t>
            </w:r>
          </w:p>
        </w:tc>
        <w:tc>
          <w:tcPr>
            <w:tcW w:w="2296" w:type="dxa"/>
            <w:shd w:val="clear" w:color="000000" w:fill="D0CECE"/>
            <w:noWrap/>
            <w:vAlign w:val="center"/>
            <w:hideMark/>
          </w:tcPr>
          <w:p w14:paraId="17596A64" w14:textId="77777777" w:rsidR="00415D20" w:rsidRPr="00014805" w:rsidRDefault="00415D20" w:rsidP="00415D20">
            <w:pPr>
              <w:jc w:val="center"/>
              <w:rPr>
                <w:rFonts w:ascii="Times New Roman" w:hAnsi="Times New Roman" w:cs="Times New Roman"/>
                <w:b/>
                <w:bCs/>
                <w:color w:val="000000"/>
              </w:rPr>
            </w:pPr>
            <w:r w:rsidRPr="00014805">
              <w:rPr>
                <w:rFonts w:ascii="Times New Roman" w:hAnsi="Times New Roman" w:cs="Times New Roman"/>
                <w:b/>
                <w:bCs/>
                <w:color w:val="000000"/>
              </w:rPr>
              <w:t>Family</w:t>
            </w:r>
          </w:p>
        </w:tc>
        <w:tc>
          <w:tcPr>
            <w:tcW w:w="2123" w:type="dxa"/>
            <w:shd w:val="clear" w:color="000000" w:fill="D0CECE"/>
            <w:noWrap/>
            <w:vAlign w:val="center"/>
            <w:hideMark/>
          </w:tcPr>
          <w:p w14:paraId="5C534908" w14:textId="77777777" w:rsidR="00415D20" w:rsidRPr="00014805" w:rsidRDefault="00415D20" w:rsidP="00415D20">
            <w:pPr>
              <w:jc w:val="center"/>
              <w:rPr>
                <w:rFonts w:ascii="Times New Roman" w:hAnsi="Times New Roman" w:cs="Times New Roman"/>
                <w:b/>
                <w:bCs/>
                <w:color w:val="000000"/>
              </w:rPr>
            </w:pPr>
            <w:r w:rsidRPr="00014805">
              <w:rPr>
                <w:rFonts w:ascii="Times New Roman" w:hAnsi="Times New Roman" w:cs="Times New Roman"/>
                <w:b/>
                <w:bCs/>
                <w:color w:val="000000"/>
              </w:rPr>
              <w:t>Genus</w:t>
            </w:r>
          </w:p>
        </w:tc>
        <w:tc>
          <w:tcPr>
            <w:tcW w:w="1356" w:type="dxa"/>
            <w:shd w:val="clear" w:color="000000" w:fill="D0CECE"/>
            <w:noWrap/>
            <w:vAlign w:val="center"/>
            <w:hideMark/>
          </w:tcPr>
          <w:p w14:paraId="0225956C" w14:textId="77777777" w:rsidR="00415D20" w:rsidRPr="00014805" w:rsidRDefault="00415D20" w:rsidP="00415D20">
            <w:pPr>
              <w:jc w:val="center"/>
              <w:rPr>
                <w:rFonts w:ascii="Times New Roman" w:hAnsi="Times New Roman" w:cs="Times New Roman"/>
                <w:b/>
                <w:bCs/>
                <w:color w:val="000000"/>
                <w:vertAlign w:val="subscript"/>
              </w:rPr>
            </w:pPr>
            <w:r w:rsidRPr="00014805">
              <w:rPr>
                <w:rFonts w:ascii="Times New Roman" w:hAnsi="Times New Roman" w:cs="Times New Roman"/>
                <w:b/>
                <w:bCs/>
                <w:color w:val="000000"/>
              </w:rPr>
              <w:t xml:space="preserve">Mean </w:t>
            </w:r>
            <w:proofErr w:type="spellStart"/>
            <w:r w:rsidRPr="00014805">
              <w:rPr>
                <w:rFonts w:ascii="Times New Roman" w:hAnsi="Times New Roman" w:cs="Times New Roman"/>
                <w:b/>
                <w:bCs/>
                <w:color w:val="000000"/>
              </w:rPr>
              <w:t>r</w:t>
            </w:r>
            <w:r w:rsidRPr="00014805">
              <w:rPr>
                <w:rFonts w:ascii="Times New Roman" w:hAnsi="Times New Roman" w:cs="Times New Roman"/>
                <w:b/>
                <w:bCs/>
                <w:color w:val="000000"/>
                <w:vertAlign w:val="subscript"/>
              </w:rPr>
              <w:t>pb</w:t>
            </w:r>
            <w:proofErr w:type="spellEnd"/>
          </w:p>
        </w:tc>
      </w:tr>
      <w:tr w:rsidR="00415D20" w:rsidRPr="00014805" w14:paraId="54551983" w14:textId="77777777" w:rsidTr="00415D20">
        <w:trPr>
          <w:trHeight w:val="320"/>
          <w:jc w:val="center"/>
        </w:trPr>
        <w:tc>
          <w:tcPr>
            <w:tcW w:w="2136" w:type="dxa"/>
            <w:shd w:val="clear" w:color="auto" w:fill="auto"/>
            <w:noWrap/>
            <w:vAlign w:val="center"/>
            <w:hideMark/>
          </w:tcPr>
          <w:p w14:paraId="55E9437C"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Xanthomonadales</w:t>
            </w:r>
            <w:proofErr w:type="spellEnd"/>
          </w:p>
        </w:tc>
        <w:tc>
          <w:tcPr>
            <w:tcW w:w="2296" w:type="dxa"/>
            <w:shd w:val="clear" w:color="auto" w:fill="auto"/>
            <w:noWrap/>
            <w:vAlign w:val="center"/>
            <w:hideMark/>
          </w:tcPr>
          <w:p w14:paraId="70CEBD31"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Xanthomonadaceae</w:t>
            </w:r>
            <w:proofErr w:type="spellEnd"/>
          </w:p>
        </w:tc>
        <w:tc>
          <w:tcPr>
            <w:tcW w:w="2123" w:type="dxa"/>
            <w:shd w:val="clear" w:color="auto" w:fill="auto"/>
            <w:noWrap/>
            <w:vAlign w:val="center"/>
            <w:hideMark/>
          </w:tcPr>
          <w:p w14:paraId="463CF623" w14:textId="77777777" w:rsidR="00415D20" w:rsidRPr="00014805" w:rsidRDefault="00415D20" w:rsidP="00415D20">
            <w:pPr>
              <w:jc w:val="center"/>
              <w:rPr>
                <w:rFonts w:ascii="Times New Roman" w:hAnsi="Times New Roman" w:cs="Times New Roman"/>
                <w:i/>
                <w:iCs/>
                <w:color w:val="000000"/>
              </w:rPr>
            </w:pPr>
            <w:r w:rsidRPr="00014805">
              <w:rPr>
                <w:rFonts w:ascii="Times New Roman" w:hAnsi="Times New Roman" w:cs="Times New Roman"/>
                <w:i/>
                <w:iCs/>
                <w:color w:val="000000"/>
              </w:rPr>
              <w:t>Stenotrophomonas</w:t>
            </w:r>
          </w:p>
        </w:tc>
        <w:tc>
          <w:tcPr>
            <w:tcW w:w="1356" w:type="dxa"/>
            <w:shd w:val="clear" w:color="auto" w:fill="auto"/>
            <w:noWrap/>
            <w:vAlign w:val="center"/>
            <w:hideMark/>
          </w:tcPr>
          <w:p w14:paraId="2BBB87CA"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0.40905203</w:t>
            </w:r>
          </w:p>
        </w:tc>
      </w:tr>
      <w:tr w:rsidR="00415D20" w:rsidRPr="00014805" w14:paraId="15E27F83" w14:textId="77777777" w:rsidTr="00415D20">
        <w:trPr>
          <w:trHeight w:val="320"/>
          <w:jc w:val="center"/>
        </w:trPr>
        <w:tc>
          <w:tcPr>
            <w:tcW w:w="2136" w:type="dxa"/>
            <w:shd w:val="clear" w:color="auto" w:fill="F2F2F2" w:themeFill="background1" w:themeFillShade="F2"/>
            <w:noWrap/>
            <w:vAlign w:val="center"/>
            <w:hideMark/>
          </w:tcPr>
          <w:p w14:paraId="5FC09B38"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Propionibacteriales</w:t>
            </w:r>
            <w:proofErr w:type="spellEnd"/>
          </w:p>
        </w:tc>
        <w:tc>
          <w:tcPr>
            <w:tcW w:w="2296" w:type="dxa"/>
            <w:shd w:val="clear" w:color="auto" w:fill="F2F2F2" w:themeFill="background1" w:themeFillShade="F2"/>
            <w:noWrap/>
            <w:vAlign w:val="center"/>
            <w:hideMark/>
          </w:tcPr>
          <w:p w14:paraId="7B0F8B02"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Propionibacteriaceae</w:t>
            </w:r>
            <w:proofErr w:type="spellEnd"/>
          </w:p>
        </w:tc>
        <w:tc>
          <w:tcPr>
            <w:tcW w:w="2123" w:type="dxa"/>
            <w:shd w:val="clear" w:color="auto" w:fill="F2F2F2" w:themeFill="background1" w:themeFillShade="F2"/>
            <w:noWrap/>
            <w:vAlign w:val="center"/>
            <w:hideMark/>
          </w:tcPr>
          <w:p w14:paraId="1E54B980"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Cutibacterium</w:t>
            </w:r>
            <w:proofErr w:type="spellEnd"/>
          </w:p>
        </w:tc>
        <w:tc>
          <w:tcPr>
            <w:tcW w:w="1356" w:type="dxa"/>
            <w:shd w:val="clear" w:color="auto" w:fill="F2F2F2" w:themeFill="background1" w:themeFillShade="F2"/>
            <w:noWrap/>
            <w:vAlign w:val="center"/>
            <w:hideMark/>
          </w:tcPr>
          <w:p w14:paraId="335D1B06"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0.28534226</w:t>
            </w:r>
          </w:p>
        </w:tc>
      </w:tr>
      <w:tr w:rsidR="00415D20" w:rsidRPr="00014805" w14:paraId="70DACEDE" w14:textId="77777777" w:rsidTr="00415D20">
        <w:trPr>
          <w:trHeight w:val="320"/>
          <w:jc w:val="center"/>
        </w:trPr>
        <w:tc>
          <w:tcPr>
            <w:tcW w:w="2136" w:type="dxa"/>
            <w:shd w:val="clear" w:color="auto" w:fill="auto"/>
            <w:noWrap/>
            <w:vAlign w:val="center"/>
            <w:hideMark/>
          </w:tcPr>
          <w:p w14:paraId="2D427F43"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Cytophagales</w:t>
            </w:r>
            <w:proofErr w:type="spellEnd"/>
          </w:p>
        </w:tc>
        <w:tc>
          <w:tcPr>
            <w:tcW w:w="2296" w:type="dxa"/>
            <w:shd w:val="clear" w:color="auto" w:fill="auto"/>
            <w:noWrap/>
            <w:vAlign w:val="center"/>
            <w:hideMark/>
          </w:tcPr>
          <w:p w14:paraId="6B18E96E"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Spirosomaceae</w:t>
            </w:r>
            <w:proofErr w:type="spellEnd"/>
          </w:p>
        </w:tc>
        <w:tc>
          <w:tcPr>
            <w:tcW w:w="2123" w:type="dxa"/>
            <w:shd w:val="clear" w:color="auto" w:fill="auto"/>
            <w:noWrap/>
            <w:vAlign w:val="center"/>
            <w:hideMark/>
          </w:tcPr>
          <w:p w14:paraId="35C014BA"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Flectobacillus</w:t>
            </w:r>
            <w:proofErr w:type="spellEnd"/>
          </w:p>
        </w:tc>
        <w:tc>
          <w:tcPr>
            <w:tcW w:w="1356" w:type="dxa"/>
            <w:shd w:val="clear" w:color="auto" w:fill="auto"/>
            <w:noWrap/>
            <w:vAlign w:val="center"/>
            <w:hideMark/>
          </w:tcPr>
          <w:p w14:paraId="24E7EF7A"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0.28048033</w:t>
            </w:r>
          </w:p>
        </w:tc>
      </w:tr>
      <w:tr w:rsidR="00415D20" w:rsidRPr="00014805" w14:paraId="2E25CAFA" w14:textId="77777777" w:rsidTr="00415D20">
        <w:trPr>
          <w:trHeight w:val="320"/>
          <w:jc w:val="center"/>
        </w:trPr>
        <w:tc>
          <w:tcPr>
            <w:tcW w:w="2136" w:type="dxa"/>
            <w:shd w:val="clear" w:color="auto" w:fill="F2F2F2" w:themeFill="background1" w:themeFillShade="F2"/>
            <w:noWrap/>
            <w:vAlign w:val="center"/>
            <w:hideMark/>
          </w:tcPr>
          <w:p w14:paraId="153F19A8"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Solirubrobacterales</w:t>
            </w:r>
            <w:proofErr w:type="spellEnd"/>
          </w:p>
        </w:tc>
        <w:tc>
          <w:tcPr>
            <w:tcW w:w="2296" w:type="dxa"/>
            <w:shd w:val="clear" w:color="auto" w:fill="F2F2F2" w:themeFill="background1" w:themeFillShade="F2"/>
            <w:noWrap/>
            <w:vAlign w:val="center"/>
            <w:hideMark/>
          </w:tcPr>
          <w:p w14:paraId="30C7F103"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Solirubrobacteraceae</w:t>
            </w:r>
            <w:proofErr w:type="spellEnd"/>
          </w:p>
        </w:tc>
        <w:tc>
          <w:tcPr>
            <w:tcW w:w="2123" w:type="dxa"/>
            <w:shd w:val="clear" w:color="auto" w:fill="F2F2F2" w:themeFill="background1" w:themeFillShade="F2"/>
            <w:noWrap/>
            <w:vAlign w:val="center"/>
            <w:hideMark/>
          </w:tcPr>
          <w:p w14:paraId="0175D5A9"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Patulibacter</w:t>
            </w:r>
            <w:proofErr w:type="spellEnd"/>
          </w:p>
        </w:tc>
        <w:tc>
          <w:tcPr>
            <w:tcW w:w="1356" w:type="dxa"/>
            <w:shd w:val="clear" w:color="auto" w:fill="F2F2F2" w:themeFill="background1" w:themeFillShade="F2"/>
            <w:noWrap/>
            <w:vAlign w:val="center"/>
            <w:hideMark/>
          </w:tcPr>
          <w:p w14:paraId="20927882"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0.23431044</w:t>
            </w:r>
          </w:p>
        </w:tc>
      </w:tr>
      <w:tr w:rsidR="00415D20" w:rsidRPr="00014805" w14:paraId="65F25766" w14:textId="77777777" w:rsidTr="00415D20">
        <w:trPr>
          <w:trHeight w:val="320"/>
          <w:jc w:val="center"/>
        </w:trPr>
        <w:tc>
          <w:tcPr>
            <w:tcW w:w="2136" w:type="dxa"/>
            <w:shd w:val="clear" w:color="auto" w:fill="auto"/>
            <w:noWrap/>
            <w:vAlign w:val="center"/>
            <w:hideMark/>
          </w:tcPr>
          <w:p w14:paraId="7AE89D30"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Burkholderiales</w:t>
            </w:r>
            <w:proofErr w:type="spellEnd"/>
          </w:p>
        </w:tc>
        <w:tc>
          <w:tcPr>
            <w:tcW w:w="2296" w:type="dxa"/>
            <w:shd w:val="clear" w:color="auto" w:fill="auto"/>
            <w:noWrap/>
            <w:vAlign w:val="center"/>
            <w:hideMark/>
          </w:tcPr>
          <w:p w14:paraId="48E3441E"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Comamonadaceae</w:t>
            </w:r>
            <w:proofErr w:type="spellEnd"/>
          </w:p>
        </w:tc>
        <w:tc>
          <w:tcPr>
            <w:tcW w:w="2123" w:type="dxa"/>
            <w:shd w:val="clear" w:color="auto" w:fill="auto"/>
            <w:noWrap/>
            <w:vAlign w:val="center"/>
            <w:hideMark/>
          </w:tcPr>
          <w:p w14:paraId="51B916ED"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Variovorax</w:t>
            </w:r>
            <w:proofErr w:type="spellEnd"/>
          </w:p>
        </w:tc>
        <w:tc>
          <w:tcPr>
            <w:tcW w:w="1356" w:type="dxa"/>
            <w:shd w:val="clear" w:color="auto" w:fill="auto"/>
            <w:noWrap/>
            <w:vAlign w:val="center"/>
            <w:hideMark/>
          </w:tcPr>
          <w:p w14:paraId="44B16EBE"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0.235148</w:t>
            </w:r>
          </w:p>
        </w:tc>
      </w:tr>
      <w:tr w:rsidR="00415D20" w:rsidRPr="00014805" w14:paraId="2CE077D5" w14:textId="77777777" w:rsidTr="00415D20">
        <w:trPr>
          <w:trHeight w:val="320"/>
          <w:jc w:val="center"/>
        </w:trPr>
        <w:tc>
          <w:tcPr>
            <w:tcW w:w="2136" w:type="dxa"/>
            <w:shd w:val="clear" w:color="auto" w:fill="F2F2F2" w:themeFill="background1" w:themeFillShade="F2"/>
            <w:noWrap/>
            <w:vAlign w:val="center"/>
            <w:hideMark/>
          </w:tcPr>
          <w:p w14:paraId="1D0FBEDF"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Sphingomonadales</w:t>
            </w:r>
            <w:proofErr w:type="spellEnd"/>
          </w:p>
        </w:tc>
        <w:tc>
          <w:tcPr>
            <w:tcW w:w="2296" w:type="dxa"/>
            <w:shd w:val="clear" w:color="auto" w:fill="F2F2F2" w:themeFill="background1" w:themeFillShade="F2"/>
            <w:noWrap/>
            <w:vAlign w:val="center"/>
            <w:hideMark/>
          </w:tcPr>
          <w:p w14:paraId="001A2A30"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Sphingomonadaceae</w:t>
            </w:r>
            <w:proofErr w:type="spellEnd"/>
          </w:p>
        </w:tc>
        <w:tc>
          <w:tcPr>
            <w:tcW w:w="2123" w:type="dxa"/>
            <w:shd w:val="clear" w:color="auto" w:fill="F2F2F2" w:themeFill="background1" w:themeFillShade="F2"/>
            <w:noWrap/>
            <w:vAlign w:val="center"/>
            <w:hideMark/>
          </w:tcPr>
          <w:p w14:paraId="06D11742"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Sphingomonas</w:t>
            </w:r>
            <w:proofErr w:type="spellEnd"/>
          </w:p>
        </w:tc>
        <w:tc>
          <w:tcPr>
            <w:tcW w:w="1356" w:type="dxa"/>
            <w:shd w:val="clear" w:color="auto" w:fill="F2F2F2" w:themeFill="background1" w:themeFillShade="F2"/>
            <w:noWrap/>
            <w:vAlign w:val="center"/>
            <w:hideMark/>
          </w:tcPr>
          <w:p w14:paraId="1E75EBB6"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0.23188597</w:t>
            </w:r>
          </w:p>
        </w:tc>
      </w:tr>
      <w:tr w:rsidR="00415D20" w:rsidRPr="00014805" w14:paraId="56EB1D36" w14:textId="77777777" w:rsidTr="00415D20">
        <w:trPr>
          <w:trHeight w:val="320"/>
          <w:jc w:val="center"/>
        </w:trPr>
        <w:tc>
          <w:tcPr>
            <w:tcW w:w="2136" w:type="dxa"/>
            <w:shd w:val="clear" w:color="auto" w:fill="auto"/>
            <w:noWrap/>
            <w:vAlign w:val="center"/>
            <w:hideMark/>
          </w:tcPr>
          <w:p w14:paraId="3A61DEFD"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Rhizobiales</w:t>
            </w:r>
            <w:proofErr w:type="spellEnd"/>
          </w:p>
        </w:tc>
        <w:tc>
          <w:tcPr>
            <w:tcW w:w="2296" w:type="dxa"/>
            <w:shd w:val="clear" w:color="auto" w:fill="auto"/>
            <w:noWrap/>
            <w:vAlign w:val="center"/>
            <w:hideMark/>
          </w:tcPr>
          <w:p w14:paraId="57B45F5F"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Beijerinckiaceae</w:t>
            </w:r>
            <w:proofErr w:type="spellEnd"/>
          </w:p>
        </w:tc>
        <w:tc>
          <w:tcPr>
            <w:tcW w:w="2123" w:type="dxa"/>
            <w:shd w:val="clear" w:color="auto" w:fill="auto"/>
            <w:noWrap/>
            <w:vAlign w:val="center"/>
            <w:hideMark/>
          </w:tcPr>
          <w:p w14:paraId="3DBB9E5F"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1174-901-12</w:t>
            </w:r>
          </w:p>
        </w:tc>
        <w:tc>
          <w:tcPr>
            <w:tcW w:w="1356" w:type="dxa"/>
            <w:shd w:val="clear" w:color="auto" w:fill="auto"/>
            <w:noWrap/>
            <w:vAlign w:val="center"/>
            <w:hideMark/>
          </w:tcPr>
          <w:p w14:paraId="61B77AB3"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0.22252176</w:t>
            </w:r>
          </w:p>
        </w:tc>
      </w:tr>
      <w:tr w:rsidR="00415D20" w:rsidRPr="00014805" w14:paraId="0AC0C9A4" w14:textId="77777777" w:rsidTr="00415D20">
        <w:trPr>
          <w:trHeight w:val="320"/>
          <w:jc w:val="center"/>
        </w:trPr>
        <w:tc>
          <w:tcPr>
            <w:tcW w:w="2136" w:type="dxa"/>
            <w:shd w:val="clear" w:color="auto" w:fill="F2F2F2" w:themeFill="background1" w:themeFillShade="F2"/>
            <w:noWrap/>
            <w:vAlign w:val="center"/>
            <w:hideMark/>
          </w:tcPr>
          <w:p w14:paraId="14CC87F2"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Sphingomonadales</w:t>
            </w:r>
            <w:proofErr w:type="spellEnd"/>
          </w:p>
        </w:tc>
        <w:tc>
          <w:tcPr>
            <w:tcW w:w="2296" w:type="dxa"/>
            <w:shd w:val="clear" w:color="auto" w:fill="F2F2F2" w:themeFill="background1" w:themeFillShade="F2"/>
            <w:noWrap/>
            <w:vAlign w:val="center"/>
            <w:hideMark/>
          </w:tcPr>
          <w:p w14:paraId="058814E7"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Sphingomonadaceae</w:t>
            </w:r>
            <w:proofErr w:type="spellEnd"/>
          </w:p>
        </w:tc>
        <w:tc>
          <w:tcPr>
            <w:tcW w:w="2123" w:type="dxa"/>
            <w:shd w:val="clear" w:color="auto" w:fill="F2F2F2" w:themeFill="background1" w:themeFillShade="F2"/>
            <w:noWrap/>
            <w:vAlign w:val="center"/>
            <w:hideMark/>
          </w:tcPr>
          <w:p w14:paraId="5096880E"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Novosphingobium</w:t>
            </w:r>
            <w:proofErr w:type="spellEnd"/>
          </w:p>
        </w:tc>
        <w:tc>
          <w:tcPr>
            <w:tcW w:w="1356" w:type="dxa"/>
            <w:shd w:val="clear" w:color="auto" w:fill="F2F2F2" w:themeFill="background1" w:themeFillShade="F2"/>
            <w:noWrap/>
            <w:vAlign w:val="center"/>
            <w:hideMark/>
          </w:tcPr>
          <w:p w14:paraId="39EE6C62"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0.2166361</w:t>
            </w:r>
          </w:p>
        </w:tc>
      </w:tr>
      <w:tr w:rsidR="00415D20" w:rsidRPr="00014805" w14:paraId="1CFE5D62" w14:textId="77777777" w:rsidTr="00415D20">
        <w:trPr>
          <w:trHeight w:val="320"/>
          <w:jc w:val="center"/>
        </w:trPr>
        <w:tc>
          <w:tcPr>
            <w:tcW w:w="2136" w:type="dxa"/>
            <w:shd w:val="clear" w:color="auto" w:fill="auto"/>
            <w:noWrap/>
            <w:vAlign w:val="center"/>
            <w:hideMark/>
          </w:tcPr>
          <w:p w14:paraId="21044A7C"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Pseudomonadales</w:t>
            </w:r>
            <w:proofErr w:type="spellEnd"/>
          </w:p>
        </w:tc>
        <w:tc>
          <w:tcPr>
            <w:tcW w:w="2296" w:type="dxa"/>
            <w:shd w:val="clear" w:color="auto" w:fill="auto"/>
            <w:noWrap/>
            <w:vAlign w:val="center"/>
            <w:hideMark/>
          </w:tcPr>
          <w:p w14:paraId="3CAA2979"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Moraxellaceae</w:t>
            </w:r>
            <w:proofErr w:type="spellEnd"/>
          </w:p>
        </w:tc>
        <w:tc>
          <w:tcPr>
            <w:tcW w:w="2123" w:type="dxa"/>
            <w:shd w:val="clear" w:color="auto" w:fill="auto"/>
            <w:noWrap/>
            <w:vAlign w:val="center"/>
            <w:hideMark/>
          </w:tcPr>
          <w:p w14:paraId="6705EA29" w14:textId="77777777" w:rsidR="00415D20" w:rsidRPr="00014805" w:rsidRDefault="00415D20" w:rsidP="00415D20">
            <w:pPr>
              <w:jc w:val="center"/>
              <w:rPr>
                <w:rFonts w:ascii="Times New Roman" w:hAnsi="Times New Roman" w:cs="Times New Roman"/>
                <w:i/>
                <w:iCs/>
                <w:color w:val="000000"/>
              </w:rPr>
            </w:pPr>
            <w:r w:rsidRPr="00014805">
              <w:rPr>
                <w:rFonts w:ascii="Times New Roman" w:hAnsi="Times New Roman" w:cs="Times New Roman"/>
                <w:i/>
                <w:iCs/>
                <w:color w:val="000000"/>
              </w:rPr>
              <w:t>Moraxella</w:t>
            </w:r>
          </w:p>
        </w:tc>
        <w:tc>
          <w:tcPr>
            <w:tcW w:w="1356" w:type="dxa"/>
            <w:shd w:val="clear" w:color="auto" w:fill="auto"/>
            <w:noWrap/>
            <w:vAlign w:val="center"/>
            <w:hideMark/>
          </w:tcPr>
          <w:p w14:paraId="68F5139D"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0.21541869</w:t>
            </w:r>
          </w:p>
        </w:tc>
      </w:tr>
      <w:tr w:rsidR="00415D20" w:rsidRPr="00014805" w14:paraId="5674E179" w14:textId="77777777" w:rsidTr="00415D20">
        <w:trPr>
          <w:trHeight w:val="320"/>
          <w:jc w:val="center"/>
        </w:trPr>
        <w:tc>
          <w:tcPr>
            <w:tcW w:w="2136" w:type="dxa"/>
            <w:shd w:val="clear" w:color="auto" w:fill="F2F2F2" w:themeFill="background1" w:themeFillShade="F2"/>
            <w:noWrap/>
            <w:vAlign w:val="center"/>
            <w:hideMark/>
          </w:tcPr>
          <w:p w14:paraId="655128EE"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Pseudomonadales</w:t>
            </w:r>
            <w:proofErr w:type="spellEnd"/>
          </w:p>
        </w:tc>
        <w:tc>
          <w:tcPr>
            <w:tcW w:w="2296" w:type="dxa"/>
            <w:shd w:val="clear" w:color="auto" w:fill="F2F2F2" w:themeFill="background1" w:themeFillShade="F2"/>
            <w:noWrap/>
            <w:vAlign w:val="center"/>
            <w:hideMark/>
          </w:tcPr>
          <w:p w14:paraId="759C125E"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Moraxellaceae</w:t>
            </w:r>
            <w:proofErr w:type="spellEnd"/>
          </w:p>
        </w:tc>
        <w:tc>
          <w:tcPr>
            <w:tcW w:w="2123" w:type="dxa"/>
            <w:shd w:val="clear" w:color="auto" w:fill="F2F2F2" w:themeFill="background1" w:themeFillShade="F2"/>
            <w:noWrap/>
            <w:vAlign w:val="center"/>
            <w:hideMark/>
          </w:tcPr>
          <w:p w14:paraId="7F798D2A" w14:textId="77777777" w:rsidR="00415D20" w:rsidRPr="00014805" w:rsidRDefault="00415D20" w:rsidP="00415D20">
            <w:pPr>
              <w:jc w:val="center"/>
              <w:rPr>
                <w:rFonts w:ascii="Times New Roman" w:hAnsi="Times New Roman" w:cs="Times New Roman"/>
                <w:i/>
                <w:iCs/>
                <w:color w:val="000000"/>
              </w:rPr>
            </w:pPr>
            <w:r w:rsidRPr="00014805">
              <w:rPr>
                <w:rFonts w:ascii="Times New Roman" w:hAnsi="Times New Roman" w:cs="Times New Roman"/>
                <w:i/>
                <w:iCs/>
                <w:color w:val="000000"/>
              </w:rPr>
              <w:t>Acinetobacter</w:t>
            </w:r>
          </w:p>
        </w:tc>
        <w:tc>
          <w:tcPr>
            <w:tcW w:w="1356" w:type="dxa"/>
            <w:shd w:val="clear" w:color="auto" w:fill="F2F2F2" w:themeFill="background1" w:themeFillShade="F2"/>
            <w:noWrap/>
            <w:vAlign w:val="center"/>
            <w:hideMark/>
          </w:tcPr>
          <w:p w14:paraId="75298F8C"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0.21371188</w:t>
            </w:r>
          </w:p>
        </w:tc>
      </w:tr>
      <w:tr w:rsidR="00415D20" w:rsidRPr="00014805" w14:paraId="28D508E8" w14:textId="77777777" w:rsidTr="00415D20">
        <w:trPr>
          <w:trHeight w:val="320"/>
          <w:jc w:val="center"/>
        </w:trPr>
        <w:tc>
          <w:tcPr>
            <w:tcW w:w="2136" w:type="dxa"/>
            <w:shd w:val="clear" w:color="auto" w:fill="auto"/>
            <w:noWrap/>
            <w:vAlign w:val="center"/>
            <w:hideMark/>
          </w:tcPr>
          <w:p w14:paraId="5CFAC349"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Corynebacteriales</w:t>
            </w:r>
            <w:proofErr w:type="spellEnd"/>
          </w:p>
        </w:tc>
        <w:tc>
          <w:tcPr>
            <w:tcW w:w="2296" w:type="dxa"/>
            <w:shd w:val="clear" w:color="auto" w:fill="auto"/>
            <w:noWrap/>
            <w:vAlign w:val="center"/>
            <w:hideMark/>
          </w:tcPr>
          <w:p w14:paraId="1B22A9AE"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Mycobacteriaceae</w:t>
            </w:r>
            <w:proofErr w:type="spellEnd"/>
          </w:p>
        </w:tc>
        <w:tc>
          <w:tcPr>
            <w:tcW w:w="2123" w:type="dxa"/>
            <w:shd w:val="clear" w:color="auto" w:fill="auto"/>
            <w:noWrap/>
            <w:vAlign w:val="center"/>
            <w:hideMark/>
          </w:tcPr>
          <w:p w14:paraId="1BD429BE" w14:textId="77777777" w:rsidR="00415D20" w:rsidRPr="00014805" w:rsidRDefault="00415D20" w:rsidP="00415D20">
            <w:pPr>
              <w:jc w:val="center"/>
              <w:rPr>
                <w:rFonts w:ascii="Times New Roman" w:hAnsi="Times New Roman" w:cs="Times New Roman"/>
                <w:i/>
                <w:iCs/>
                <w:color w:val="000000"/>
              </w:rPr>
            </w:pPr>
            <w:r w:rsidRPr="00014805">
              <w:rPr>
                <w:rFonts w:ascii="Times New Roman" w:hAnsi="Times New Roman" w:cs="Times New Roman"/>
                <w:i/>
                <w:iCs/>
                <w:color w:val="000000"/>
              </w:rPr>
              <w:t>Mycobacterium</w:t>
            </w:r>
          </w:p>
        </w:tc>
        <w:tc>
          <w:tcPr>
            <w:tcW w:w="1356" w:type="dxa"/>
            <w:shd w:val="clear" w:color="auto" w:fill="auto"/>
            <w:noWrap/>
            <w:vAlign w:val="center"/>
            <w:hideMark/>
          </w:tcPr>
          <w:p w14:paraId="355213F9"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0.20907266</w:t>
            </w:r>
          </w:p>
        </w:tc>
      </w:tr>
      <w:tr w:rsidR="00415D20" w:rsidRPr="00014805" w14:paraId="043B82EC" w14:textId="77777777" w:rsidTr="00415D20">
        <w:trPr>
          <w:trHeight w:val="320"/>
          <w:jc w:val="center"/>
        </w:trPr>
        <w:tc>
          <w:tcPr>
            <w:tcW w:w="2136" w:type="dxa"/>
            <w:shd w:val="clear" w:color="auto" w:fill="F2F2F2" w:themeFill="background1" w:themeFillShade="F2"/>
            <w:noWrap/>
            <w:vAlign w:val="center"/>
            <w:hideMark/>
          </w:tcPr>
          <w:p w14:paraId="0FC370C5"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Rhizobiales</w:t>
            </w:r>
            <w:proofErr w:type="spellEnd"/>
          </w:p>
        </w:tc>
        <w:tc>
          <w:tcPr>
            <w:tcW w:w="2296" w:type="dxa"/>
            <w:shd w:val="clear" w:color="auto" w:fill="F2F2F2" w:themeFill="background1" w:themeFillShade="F2"/>
            <w:noWrap/>
            <w:vAlign w:val="center"/>
            <w:hideMark/>
          </w:tcPr>
          <w:p w14:paraId="57C9E9CA"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Beijerinckiaceae</w:t>
            </w:r>
            <w:proofErr w:type="spellEnd"/>
          </w:p>
        </w:tc>
        <w:tc>
          <w:tcPr>
            <w:tcW w:w="2123" w:type="dxa"/>
            <w:shd w:val="clear" w:color="auto" w:fill="F2F2F2" w:themeFill="background1" w:themeFillShade="F2"/>
            <w:noWrap/>
            <w:vAlign w:val="center"/>
            <w:hideMark/>
          </w:tcPr>
          <w:p w14:paraId="781ADB5F"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NA</w:t>
            </w:r>
          </w:p>
        </w:tc>
        <w:tc>
          <w:tcPr>
            <w:tcW w:w="1356" w:type="dxa"/>
            <w:shd w:val="clear" w:color="auto" w:fill="F2F2F2" w:themeFill="background1" w:themeFillShade="F2"/>
            <w:noWrap/>
            <w:vAlign w:val="center"/>
            <w:hideMark/>
          </w:tcPr>
          <w:p w14:paraId="395EC86B"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0.20719538</w:t>
            </w:r>
          </w:p>
        </w:tc>
      </w:tr>
      <w:tr w:rsidR="00415D20" w:rsidRPr="00014805" w14:paraId="04C8431F" w14:textId="77777777" w:rsidTr="00415D20">
        <w:trPr>
          <w:trHeight w:val="320"/>
          <w:jc w:val="center"/>
        </w:trPr>
        <w:tc>
          <w:tcPr>
            <w:tcW w:w="2136" w:type="dxa"/>
            <w:shd w:val="clear" w:color="auto" w:fill="auto"/>
            <w:noWrap/>
            <w:vAlign w:val="center"/>
            <w:hideMark/>
          </w:tcPr>
          <w:p w14:paraId="7A1A473C"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Rhizobiales</w:t>
            </w:r>
            <w:proofErr w:type="spellEnd"/>
          </w:p>
        </w:tc>
        <w:tc>
          <w:tcPr>
            <w:tcW w:w="2296" w:type="dxa"/>
            <w:shd w:val="clear" w:color="auto" w:fill="auto"/>
            <w:noWrap/>
            <w:vAlign w:val="center"/>
            <w:hideMark/>
          </w:tcPr>
          <w:p w14:paraId="5D2BCF24"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Xanthobacteraceae</w:t>
            </w:r>
            <w:proofErr w:type="spellEnd"/>
          </w:p>
        </w:tc>
        <w:tc>
          <w:tcPr>
            <w:tcW w:w="2123" w:type="dxa"/>
            <w:shd w:val="clear" w:color="auto" w:fill="auto"/>
            <w:noWrap/>
            <w:vAlign w:val="center"/>
            <w:hideMark/>
          </w:tcPr>
          <w:p w14:paraId="74B68C24"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Tardiphaga</w:t>
            </w:r>
            <w:proofErr w:type="spellEnd"/>
          </w:p>
        </w:tc>
        <w:tc>
          <w:tcPr>
            <w:tcW w:w="1356" w:type="dxa"/>
            <w:shd w:val="clear" w:color="auto" w:fill="auto"/>
            <w:noWrap/>
            <w:vAlign w:val="center"/>
            <w:hideMark/>
          </w:tcPr>
          <w:p w14:paraId="1A2B28C8"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0.20672952</w:t>
            </w:r>
          </w:p>
        </w:tc>
      </w:tr>
      <w:tr w:rsidR="00415D20" w:rsidRPr="00014805" w14:paraId="71FD75D7" w14:textId="77777777" w:rsidTr="00415D20">
        <w:trPr>
          <w:trHeight w:val="320"/>
          <w:jc w:val="center"/>
        </w:trPr>
        <w:tc>
          <w:tcPr>
            <w:tcW w:w="2136" w:type="dxa"/>
            <w:shd w:val="clear" w:color="auto" w:fill="F2F2F2" w:themeFill="background1" w:themeFillShade="F2"/>
            <w:noWrap/>
            <w:vAlign w:val="center"/>
            <w:hideMark/>
          </w:tcPr>
          <w:p w14:paraId="11C3B429"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Corynebacteriales</w:t>
            </w:r>
            <w:proofErr w:type="spellEnd"/>
          </w:p>
        </w:tc>
        <w:tc>
          <w:tcPr>
            <w:tcW w:w="2296" w:type="dxa"/>
            <w:shd w:val="clear" w:color="auto" w:fill="F2F2F2" w:themeFill="background1" w:themeFillShade="F2"/>
            <w:noWrap/>
            <w:vAlign w:val="center"/>
            <w:hideMark/>
          </w:tcPr>
          <w:p w14:paraId="1BE34FB4"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Mycobacteriaceae</w:t>
            </w:r>
            <w:proofErr w:type="spellEnd"/>
          </w:p>
        </w:tc>
        <w:tc>
          <w:tcPr>
            <w:tcW w:w="2123" w:type="dxa"/>
            <w:shd w:val="clear" w:color="auto" w:fill="F2F2F2" w:themeFill="background1" w:themeFillShade="F2"/>
            <w:noWrap/>
            <w:vAlign w:val="center"/>
            <w:hideMark/>
          </w:tcPr>
          <w:p w14:paraId="7A7578D0" w14:textId="77777777" w:rsidR="00415D20" w:rsidRPr="00014805" w:rsidRDefault="00415D20" w:rsidP="00415D20">
            <w:pPr>
              <w:jc w:val="center"/>
              <w:rPr>
                <w:rFonts w:ascii="Times New Roman" w:hAnsi="Times New Roman" w:cs="Times New Roman"/>
                <w:i/>
                <w:iCs/>
                <w:color w:val="000000"/>
              </w:rPr>
            </w:pPr>
            <w:r w:rsidRPr="00014805">
              <w:rPr>
                <w:rFonts w:ascii="Times New Roman" w:hAnsi="Times New Roman" w:cs="Times New Roman"/>
                <w:i/>
                <w:iCs/>
                <w:color w:val="000000"/>
              </w:rPr>
              <w:t>Mycobacterium</w:t>
            </w:r>
          </w:p>
        </w:tc>
        <w:tc>
          <w:tcPr>
            <w:tcW w:w="1356" w:type="dxa"/>
            <w:shd w:val="clear" w:color="auto" w:fill="F2F2F2" w:themeFill="background1" w:themeFillShade="F2"/>
            <w:noWrap/>
            <w:vAlign w:val="center"/>
            <w:hideMark/>
          </w:tcPr>
          <w:p w14:paraId="07A8CE42"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0.20563616</w:t>
            </w:r>
          </w:p>
        </w:tc>
      </w:tr>
      <w:tr w:rsidR="00415D20" w:rsidRPr="00014805" w14:paraId="06F0BEEC" w14:textId="77777777" w:rsidTr="00415D20">
        <w:trPr>
          <w:trHeight w:val="320"/>
          <w:jc w:val="center"/>
        </w:trPr>
        <w:tc>
          <w:tcPr>
            <w:tcW w:w="2136" w:type="dxa"/>
            <w:shd w:val="clear" w:color="auto" w:fill="auto"/>
            <w:noWrap/>
            <w:vAlign w:val="center"/>
            <w:hideMark/>
          </w:tcPr>
          <w:p w14:paraId="239EBE54"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Verrucomicrobiales</w:t>
            </w:r>
            <w:proofErr w:type="spellEnd"/>
          </w:p>
        </w:tc>
        <w:tc>
          <w:tcPr>
            <w:tcW w:w="2296" w:type="dxa"/>
            <w:shd w:val="clear" w:color="auto" w:fill="auto"/>
            <w:noWrap/>
            <w:vAlign w:val="center"/>
            <w:hideMark/>
          </w:tcPr>
          <w:p w14:paraId="1BF874B5"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Rubritaleaceae</w:t>
            </w:r>
            <w:proofErr w:type="spellEnd"/>
          </w:p>
        </w:tc>
        <w:tc>
          <w:tcPr>
            <w:tcW w:w="2123" w:type="dxa"/>
            <w:shd w:val="clear" w:color="auto" w:fill="auto"/>
            <w:noWrap/>
            <w:vAlign w:val="center"/>
            <w:hideMark/>
          </w:tcPr>
          <w:p w14:paraId="25A21594"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NA</w:t>
            </w:r>
          </w:p>
        </w:tc>
        <w:tc>
          <w:tcPr>
            <w:tcW w:w="1356" w:type="dxa"/>
            <w:shd w:val="clear" w:color="auto" w:fill="auto"/>
            <w:noWrap/>
            <w:vAlign w:val="center"/>
            <w:hideMark/>
          </w:tcPr>
          <w:p w14:paraId="56228FBA"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0.20614392</w:t>
            </w:r>
          </w:p>
        </w:tc>
      </w:tr>
      <w:tr w:rsidR="00415D20" w:rsidRPr="00014805" w14:paraId="3BD13C1A" w14:textId="77777777" w:rsidTr="00415D20">
        <w:trPr>
          <w:trHeight w:val="320"/>
          <w:jc w:val="center"/>
        </w:trPr>
        <w:tc>
          <w:tcPr>
            <w:tcW w:w="2136" w:type="dxa"/>
            <w:shd w:val="clear" w:color="auto" w:fill="F2F2F2" w:themeFill="background1" w:themeFillShade="F2"/>
            <w:noWrap/>
            <w:vAlign w:val="center"/>
            <w:hideMark/>
          </w:tcPr>
          <w:p w14:paraId="5CD909DF"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Micromonosporales</w:t>
            </w:r>
            <w:proofErr w:type="spellEnd"/>
          </w:p>
        </w:tc>
        <w:tc>
          <w:tcPr>
            <w:tcW w:w="2296" w:type="dxa"/>
            <w:shd w:val="clear" w:color="auto" w:fill="F2F2F2" w:themeFill="background1" w:themeFillShade="F2"/>
            <w:noWrap/>
            <w:vAlign w:val="center"/>
            <w:hideMark/>
          </w:tcPr>
          <w:p w14:paraId="0D5C9B50"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Micromonosporaceae</w:t>
            </w:r>
            <w:proofErr w:type="spellEnd"/>
          </w:p>
        </w:tc>
        <w:tc>
          <w:tcPr>
            <w:tcW w:w="2123" w:type="dxa"/>
            <w:shd w:val="clear" w:color="auto" w:fill="F2F2F2" w:themeFill="background1" w:themeFillShade="F2"/>
            <w:noWrap/>
            <w:vAlign w:val="center"/>
            <w:hideMark/>
          </w:tcPr>
          <w:p w14:paraId="34BF03BC"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Dactylosporangium</w:t>
            </w:r>
            <w:proofErr w:type="spellEnd"/>
          </w:p>
        </w:tc>
        <w:tc>
          <w:tcPr>
            <w:tcW w:w="1356" w:type="dxa"/>
            <w:shd w:val="clear" w:color="auto" w:fill="F2F2F2" w:themeFill="background1" w:themeFillShade="F2"/>
            <w:noWrap/>
            <w:vAlign w:val="center"/>
            <w:hideMark/>
          </w:tcPr>
          <w:p w14:paraId="1EFF1B91"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0.20569715</w:t>
            </w:r>
          </w:p>
        </w:tc>
      </w:tr>
      <w:tr w:rsidR="00415D20" w:rsidRPr="00014805" w14:paraId="68E48D6B" w14:textId="77777777" w:rsidTr="00415D20">
        <w:trPr>
          <w:trHeight w:val="320"/>
          <w:jc w:val="center"/>
        </w:trPr>
        <w:tc>
          <w:tcPr>
            <w:tcW w:w="2136" w:type="dxa"/>
            <w:shd w:val="clear" w:color="auto" w:fill="auto"/>
            <w:noWrap/>
            <w:vAlign w:val="center"/>
            <w:hideMark/>
          </w:tcPr>
          <w:p w14:paraId="64FB94A6"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Burkholderiales</w:t>
            </w:r>
            <w:proofErr w:type="spellEnd"/>
          </w:p>
        </w:tc>
        <w:tc>
          <w:tcPr>
            <w:tcW w:w="2296" w:type="dxa"/>
            <w:shd w:val="clear" w:color="auto" w:fill="auto"/>
            <w:noWrap/>
            <w:vAlign w:val="center"/>
            <w:hideMark/>
          </w:tcPr>
          <w:p w14:paraId="22829107"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Comamonadaceae</w:t>
            </w:r>
            <w:proofErr w:type="spellEnd"/>
          </w:p>
        </w:tc>
        <w:tc>
          <w:tcPr>
            <w:tcW w:w="2123" w:type="dxa"/>
            <w:shd w:val="clear" w:color="auto" w:fill="auto"/>
            <w:noWrap/>
            <w:vAlign w:val="center"/>
            <w:hideMark/>
          </w:tcPr>
          <w:p w14:paraId="06028287"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Ramlibacter</w:t>
            </w:r>
            <w:proofErr w:type="spellEnd"/>
          </w:p>
        </w:tc>
        <w:tc>
          <w:tcPr>
            <w:tcW w:w="1356" w:type="dxa"/>
            <w:shd w:val="clear" w:color="auto" w:fill="auto"/>
            <w:noWrap/>
            <w:vAlign w:val="center"/>
            <w:hideMark/>
          </w:tcPr>
          <w:p w14:paraId="29562560"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0.2049049</w:t>
            </w:r>
          </w:p>
        </w:tc>
      </w:tr>
      <w:tr w:rsidR="00415D20" w:rsidRPr="00014805" w14:paraId="0DDA86C0" w14:textId="77777777" w:rsidTr="00415D20">
        <w:trPr>
          <w:trHeight w:val="320"/>
          <w:jc w:val="center"/>
        </w:trPr>
        <w:tc>
          <w:tcPr>
            <w:tcW w:w="2136" w:type="dxa"/>
            <w:shd w:val="clear" w:color="auto" w:fill="F2F2F2" w:themeFill="background1" w:themeFillShade="F2"/>
            <w:noWrap/>
            <w:vAlign w:val="center"/>
            <w:hideMark/>
          </w:tcPr>
          <w:p w14:paraId="23122EE5"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Burkholderiales</w:t>
            </w:r>
            <w:proofErr w:type="spellEnd"/>
          </w:p>
        </w:tc>
        <w:tc>
          <w:tcPr>
            <w:tcW w:w="2296" w:type="dxa"/>
            <w:shd w:val="clear" w:color="auto" w:fill="F2F2F2" w:themeFill="background1" w:themeFillShade="F2"/>
            <w:noWrap/>
            <w:vAlign w:val="center"/>
            <w:hideMark/>
          </w:tcPr>
          <w:p w14:paraId="0B9DC5AF"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Comamonadaceae</w:t>
            </w:r>
            <w:proofErr w:type="spellEnd"/>
          </w:p>
        </w:tc>
        <w:tc>
          <w:tcPr>
            <w:tcW w:w="2123" w:type="dxa"/>
            <w:shd w:val="clear" w:color="auto" w:fill="F2F2F2" w:themeFill="background1" w:themeFillShade="F2"/>
            <w:noWrap/>
            <w:vAlign w:val="center"/>
            <w:hideMark/>
          </w:tcPr>
          <w:p w14:paraId="3EB590C8"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NA</w:t>
            </w:r>
          </w:p>
        </w:tc>
        <w:tc>
          <w:tcPr>
            <w:tcW w:w="1356" w:type="dxa"/>
            <w:shd w:val="clear" w:color="auto" w:fill="F2F2F2" w:themeFill="background1" w:themeFillShade="F2"/>
            <w:noWrap/>
            <w:vAlign w:val="center"/>
            <w:hideMark/>
          </w:tcPr>
          <w:p w14:paraId="56802A10"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0.20517004</w:t>
            </w:r>
          </w:p>
        </w:tc>
      </w:tr>
      <w:tr w:rsidR="00415D20" w:rsidRPr="00014805" w14:paraId="6988663F" w14:textId="77777777" w:rsidTr="00415D20">
        <w:trPr>
          <w:trHeight w:val="320"/>
          <w:jc w:val="center"/>
        </w:trPr>
        <w:tc>
          <w:tcPr>
            <w:tcW w:w="2136" w:type="dxa"/>
            <w:shd w:val="clear" w:color="auto" w:fill="auto"/>
            <w:noWrap/>
            <w:vAlign w:val="center"/>
            <w:hideMark/>
          </w:tcPr>
          <w:p w14:paraId="13702C8C"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Sphingomonadales</w:t>
            </w:r>
            <w:proofErr w:type="spellEnd"/>
          </w:p>
        </w:tc>
        <w:tc>
          <w:tcPr>
            <w:tcW w:w="2296" w:type="dxa"/>
            <w:shd w:val="clear" w:color="auto" w:fill="auto"/>
            <w:noWrap/>
            <w:vAlign w:val="center"/>
            <w:hideMark/>
          </w:tcPr>
          <w:p w14:paraId="5169C48F"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Sphingomonadaceae</w:t>
            </w:r>
            <w:proofErr w:type="spellEnd"/>
          </w:p>
        </w:tc>
        <w:tc>
          <w:tcPr>
            <w:tcW w:w="2123" w:type="dxa"/>
            <w:shd w:val="clear" w:color="auto" w:fill="auto"/>
            <w:noWrap/>
            <w:vAlign w:val="center"/>
            <w:hideMark/>
          </w:tcPr>
          <w:p w14:paraId="61A689A6"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Sphingobium</w:t>
            </w:r>
            <w:proofErr w:type="spellEnd"/>
          </w:p>
        </w:tc>
        <w:tc>
          <w:tcPr>
            <w:tcW w:w="1356" w:type="dxa"/>
            <w:shd w:val="clear" w:color="auto" w:fill="auto"/>
            <w:noWrap/>
            <w:vAlign w:val="center"/>
            <w:hideMark/>
          </w:tcPr>
          <w:p w14:paraId="4CFB8E21"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0.2016855</w:t>
            </w:r>
          </w:p>
        </w:tc>
      </w:tr>
      <w:tr w:rsidR="00415D20" w:rsidRPr="00014805" w14:paraId="3A22819F" w14:textId="77777777" w:rsidTr="00415D20">
        <w:trPr>
          <w:trHeight w:val="320"/>
          <w:jc w:val="center"/>
        </w:trPr>
        <w:tc>
          <w:tcPr>
            <w:tcW w:w="2136" w:type="dxa"/>
            <w:shd w:val="clear" w:color="auto" w:fill="F2F2F2" w:themeFill="background1" w:themeFillShade="F2"/>
            <w:noWrap/>
            <w:vAlign w:val="center"/>
            <w:hideMark/>
          </w:tcPr>
          <w:p w14:paraId="30C76C0F"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Enterobacterales</w:t>
            </w:r>
            <w:proofErr w:type="spellEnd"/>
          </w:p>
        </w:tc>
        <w:tc>
          <w:tcPr>
            <w:tcW w:w="2296" w:type="dxa"/>
            <w:shd w:val="clear" w:color="auto" w:fill="F2F2F2" w:themeFill="background1" w:themeFillShade="F2"/>
            <w:noWrap/>
            <w:vAlign w:val="center"/>
            <w:hideMark/>
          </w:tcPr>
          <w:p w14:paraId="6D8947E0"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Erwiniaceae</w:t>
            </w:r>
            <w:proofErr w:type="spellEnd"/>
          </w:p>
        </w:tc>
        <w:tc>
          <w:tcPr>
            <w:tcW w:w="2123" w:type="dxa"/>
            <w:shd w:val="clear" w:color="auto" w:fill="F2F2F2" w:themeFill="background1" w:themeFillShade="F2"/>
            <w:noWrap/>
            <w:vAlign w:val="center"/>
            <w:hideMark/>
          </w:tcPr>
          <w:p w14:paraId="469740B4"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Pantoea</w:t>
            </w:r>
            <w:proofErr w:type="spellEnd"/>
          </w:p>
        </w:tc>
        <w:tc>
          <w:tcPr>
            <w:tcW w:w="1356" w:type="dxa"/>
            <w:shd w:val="clear" w:color="auto" w:fill="F2F2F2" w:themeFill="background1" w:themeFillShade="F2"/>
            <w:noWrap/>
            <w:vAlign w:val="center"/>
            <w:hideMark/>
          </w:tcPr>
          <w:p w14:paraId="339A1B9F"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0.20240385</w:t>
            </w:r>
          </w:p>
        </w:tc>
      </w:tr>
      <w:tr w:rsidR="00415D20" w:rsidRPr="00014805" w14:paraId="4039EA4F" w14:textId="77777777" w:rsidTr="00415D20">
        <w:trPr>
          <w:trHeight w:val="320"/>
          <w:jc w:val="center"/>
        </w:trPr>
        <w:tc>
          <w:tcPr>
            <w:tcW w:w="2136" w:type="dxa"/>
            <w:shd w:val="clear" w:color="auto" w:fill="auto"/>
            <w:noWrap/>
            <w:vAlign w:val="center"/>
            <w:hideMark/>
          </w:tcPr>
          <w:p w14:paraId="58D388F3"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Rhizobiales</w:t>
            </w:r>
            <w:proofErr w:type="spellEnd"/>
          </w:p>
        </w:tc>
        <w:tc>
          <w:tcPr>
            <w:tcW w:w="2296" w:type="dxa"/>
            <w:shd w:val="clear" w:color="auto" w:fill="auto"/>
            <w:noWrap/>
            <w:vAlign w:val="center"/>
            <w:hideMark/>
          </w:tcPr>
          <w:p w14:paraId="4639CA76" w14:textId="77777777" w:rsidR="00415D20" w:rsidRPr="00014805" w:rsidRDefault="00415D20" w:rsidP="00415D20">
            <w:pPr>
              <w:jc w:val="center"/>
              <w:rPr>
                <w:rFonts w:ascii="Times New Roman" w:hAnsi="Times New Roman" w:cs="Times New Roman"/>
                <w:color w:val="000000"/>
              </w:rPr>
            </w:pPr>
            <w:proofErr w:type="spellStart"/>
            <w:r w:rsidRPr="00014805">
              <w:rPr>
                <w:rFonts w:ascii="Times New Roman" w:hAnsi="Times New Roman" w:cs="Times New Roman"/>
                <w:color w:val="000000"/>
              </w:rPr>
              <w:t>Beijerinckiaceae</w:t>
            </w:r>
            <w:proofErr w:type="spellEnd"/>
          </w:p>
        </w:tc>
        <w:tc>
          <w:tcPr>
            <w:tcW w:w="2123" w:type="dxa"/>
            <w:shd w:val="clear" w:color="auto" w:fill="auto"/>
            <w:noWrap/>
            <w:vAlign w:val="center"/>
            <w:hideMark/>
          </w:tcPr>
          <w:p w14:paraId="3218F832" w14:textId="77777777" w:rsidR="00415D20" w:rsidRPr="00014805" w:rsidRDefault="00415D20" w:rsidP="00415D20">
            <w:pPr>
              <w:jc w:val="center"/>
              <w:rPr>
                <w:rFonts w:ascii="Times New Roman" w:hAnsi="Times New Roman" w:cs="Times New Roman"/>
                <w:i/>
                <w:iCs/>
                <w:color w:val="000000"/>
              </w:rPr>
            </w:pPr>
            <w:proofErr w:type="spellStart"/>
            <w:r w:rsidRPr="00014805">
              <w:rPr>
                <w:rFonts w:ascii="Times New Roman" w:hAnsi="Times New Roman" w:cs="Times New Roman"/>
                <w:i/>
                <w:iCs/>
                <w:color w:val="000000"/>
              </w:rPr>
              <w:t>Methylobacterium-Methylorubrum</w:t>
            </w:r>
            <w:proofErr w:type="spellEnd"/>
          </w:p>
        </w:tc>
        <w:tc>
          <w:tcPr>
            <w:tcW w:w="1356" w:type="dxa"/>
            <w:shd w:val="clear" w:color="auto" w:fill="auto"/>
            <w:noWrap/>
            <w:vAlign w:val="center"/>
            <w:hideMark/>
          </w:tcPr>
          <w:p w14:paraId="02F65C27" w14:textId="77777777" w:rsidR="00415D20" w:rsidRPr="00014805" w:rsidRDefault="00415D20" w:rsidP="00415D20">
            <w:pPr>
              <w:jc w:val="center"/>
              <w:rPr>
                <w:rFonts w:ascii="Times New Roman" w:hAnsi="Times New Roman" w:cs="Times New Roman"/>
                <w:color w:val="000000"/>
              </w:rPr>
            </w:pPr>
            <w:r w:rsidRPr="00014805">
              <w:rPr>
                <w:rFonts w:ascii="Times New Roman" w:hAnsi="Times New Roman" w:cs="Times New Roman"/>
                <w:color w:val="000000"/>
              </w:rPr>
              <w:t>0.20135468</w:t>
            </w:r>
          </w:p>
        </w:tc>
      </w:tr>
    </w:tbl>
    <w:p w14:paraId="106AF627" w14:textId="737705A0" w:rsidR="000B341F" w:rsidRDefault="000B341F">
      <w:pPr>
        <w:rPr>
          <w:rFonts w:ascii="Times New Roman" w:hAnsi="Times New Roman" w:cs="Times New Roman"/>
        </w:rPr>
      </w:pPr>
      <w:r>
        <w:rPr>
          <w:rFonts w:ascii="Times New Roman" w:hAnsi="Times New Roman" w:cs="Times New Roman"/>
        </w:rPr>
        <w:br w:type="page"/>
      </w:r>
    </w:p>
    <w:p w14:paraId="370A065B" w14:textId="77777777" w:rsidR="000B341F" w:rsidRDefault="000B341F">
      <w:pPr>
        <w:rPr>
          <w:rFonts w:ascii="Times New Roman" w:hAnsi="Times New Roman" w:cs="Times New Roman"/>
        </w:rPr>
      </w:pPr>
    </w:p>
    <w:p w14:paraId="026A7E0A" w14:textId="2FD81A05" w:rsidR="004534B5" w:rsidRPr="002579E0" w:rsidRDefault="00E547A1" w:rsidP="00FB3A19">
      <w:pPr>
        <w:spacing w:line="360" w:lineRule="auto"/>
        <w:rPr>
          <w:rFonts w:ascii="Times New Roman" w:hAnsi="Times New Roman" w:cs="Times New Roman"/>
        </w:rPr>
      </w:pPr>
      <w:r w:rsidRPr="002579E0">
        <w:rPr>
          <w:rFonts w:ascii="Times New Roman" w:hAnsi="Times New Roman" w:cs="Times New Roman"/>
        </w:rPr>
        <w:t xml:space="preserve">genus </w:t>
      </w:r>
      <w:r w:rsidRPr="002579E0">
        <w:rPr>
          <w:rFonts w:ascii="Times New Roman" w:hAnsi="Times New Roman" w:cs="Times New Roman"/>
          <w:i/>
          <w:iCs/>
        </w:rPr>
        <w:t>Stenotrophomonas</w:t>
      </w:r>
      <w:r w:rsidRPr="002579E0">
        <w:rPr>
          <w:rFonts w:ascii="Times New Roman" w:hAnsi="Times New Roman" w:cs="Times New Roman"/>
        </w:rPr>
        <w:t xml:space="preserve"> </w:t>
      </w:r>
      <w:r w:rsidR="00FB3A19">
        <w:rPr>
          <w:rFonts w:ascii="Times New Roman" w:hAnsi="Times New Roman" w:cs="Times New Roman"/>
        </w:rPr>
        <w:t>and</w:t>
      </w:r>
      <w:r w:rsidRPr="002579E0">
        <w:rPr>
          <w:rFonts w:ascii="Times New Roman" w:hAnsi="Times New Roman" w:cs="Times New Roman"/>
        </w:rPr>
        <w:t xml:space="preserve"> family </w:t>
      </w:r>
      <w:proofErr w:type="spellStart"/>
      <w:r w:rsidRPr="002579E0">
        <w:rPr>
          <w:rFonts w:ascii="Times New Roman" w:hAnsi="Times New Roman" w:cs="Times New Roman"/>
        </w:rPr>
        <w:t>Xanthomonadaceae</w:t>
      </w:r>
      <w:proofErr w:type="spellEnd"/>
      <w:r w:rsidRPr="002579E0">
        <w:rPr>
          <w:rFonts w:ascii="Times New Roman" w:hAnsi="Times New Roman" w:cs="Times New Roman"/>
        </w:rPr>
        <w:t xml:space="preserve"> was detected on nearly 75% of</w:t>
      </w:r>
      <w:r w:rsidRPr="00E547A1">
        <w:rPr>
          <w:rFonts w:ascii="Times New Roman" w:hAnsi="Times New Roman" w:cs="Times New Roman"/>
        </w:rPr>
        <w:t xml:space="preserve"> </w:t>
      </w:r>
      <w:r w:rsidRPr="002579E0">
        <w:rPr>
          <w:rFonts w:ascii="Times New Roman" w:hAnsi="Times New Roman" w:cs="Times New Roman"/>
        </w:rPr>
        <w:t>salamander samples, despite appearing in only four environmental samples (mean relative</w:t>
      </w:r>
      <w:r w:rsidRPr="00E547A1">
        <w:rPr>
          <w:rFonts w:ascii="Times New Roman" w:hAnsi="Times New Roman" w:cs="Times New Roman"/>
        </w:rPr>
        <w:t xml:space="preserve"> </w:t>
      </w:r>
      <w:r w:rsidRPr="002579E0">
        <w:rPr>
          <w:rFonts w:ascii="Times New Roman" w:hAnsi="Times New Roman" w:cs="Times New Roman"/>
        </w:rPr>
        <w:t>abundance 0.0076). This</w:t>
      </w:r>
      <w:r w:rsidRPr="00E547A1">
        <w:rPr>
          <w:rFonts w:ascii="Times New Roman" w:hAnsi="Times New Roman" w:cs="Times New Roman"/>
        </w:rPr>
        <w:t xml:space="preserve"> </w:t>
      </w:r>
      <w:r w:rsidRPr="002579E0">
        <w:rPr>
          <w:rFonts w:ascii="Times New Roman" w:hAnsi="Times New Roman" w:cs="Times New Roman"/>
        </w:rPr>
        <w:t xml:space="preserve">sequence consistently had a </w:t>
      </w:r>
      <w:proofErr w:type="spellStart"/>
      <w:r w:rsidRPr="002579E0">
        <w:rPr>
          <w:rFonts w:ascii="Times New Roman" w:hAnsi="Times New Roman" w:cs="Times New Roman"/>
        </w:rPr>
        <w:t>r</w:t>
      </w:r>
      <w:r w:rsidRPr="002579E0">
        <w:rPr>
          <w:rFonts w:ascii="Times New Roman" w:hAnsi="Times New Roman" w:cs="Times New Roman"/>
          <w:vertAlign w:val="subscript"/>
        </w:rPr>
        <w:t>pb</w:t>
      </w:r>
      <w:proofErr w:type="spellEnd"/>
      <w:r w:rsidRPr="002579E0">
        <w:rPr>
          <w:rFonts w:ascii="Times New Roman" w:hAnsi="Times New Roman" w:cs="Times New Roman"/>
        </w:rPr>
        <w:t xml:space="preserve"> of greater than 0.4,</w:t>
      </w:r>
      <w:r w:rsidR="004D2321">
        <w:rPr>
          <w:rFonts w:ascii="Times New Roman" w:hAnsi="Times New Roman" w:cs="Times New Roman"/>
        </w:rPr>
        <w:t xml:space="preserve"> </w:t>
      </w:r>
      <w:r w:rsidR="004534B5" w:rsidRPr="002579E0">
        <w:rPr>
          <w:rFonts w:ascii="Times New Roman" w:hAnsi="Times New Roman" w:cs="Times New Roman"/>
        </w:rPr>
        <w:t xml:space="preserve">and is a member of a genus known to produce anti-fungal metabolites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{"citationID":"5e6qNx5o","properties":{"formattedCitation":"(Barnes et al., 2020)","plainCitation":"(Barnes et al., 2020)","noteIndex":0},"citationItems":[{"id":174,"uris":["http://zotero.org/users/6401767/items/PL78WH5A"],"itemData":{"id":174,"type":"article-journal","abstract":"Variation in the microbiome among individual organisms may play a critical role in the relative susceptibility of those organisms to infection, disease and death. However, predicting microbiome function is difficult because of spatial and temporal variation in microbial diversity, and taxonomic diversity is not predictive of microbiome functional diversity. Addressing this issue may be particularly important when addressing pandemic diseases, such as the global amphibian die-off associated with Bd. Some of the most important factors in probiotic development for disease treatment are whether bacteria with desired function can be found on native amphibians in the local environment. To address this issue, we isolated, sequenced, and assayed the cutaneous bacterial communities of Plethodon cinereus along a gradient of land use change. Our results suggest that cutaneous community composition, but not overall diversity, change with changes in land use, but this does not correspond to significant change in Bd-inhibitory function. We found that Bd-inhibition is a functionally redundant trait, but that level of inhibition varies over phylogenetic, spatial, and temporal scales. This research provides further evidence for examining the whole microbial community, including biotic and abiotic interactions, when considering disease dynamics.","container-title":"Frontiers in Microbiology","DOI":"10.3389/fmicb.2020.00101","ISSN":"1664-302X","journalAbbreviation":"Front. Microbiol.","language":"English","note":"publisher: Frontiers","source":"Frontiers","title":"Predicting Microbiome Function Across Space Is Confounded by Strain-Level Differences and Functional Redundancy Across Taxa","URL":"https://www.frontiersin.org/articles/10.3389/fmicb.2020.00101/full","volume":"11","author":[{"family":"Barnes","given":"Elle M."},{"family":"Carter","given":"Erin L."},{"family":"Lewis","given":"J. D."}],"accessed":{"date-parts":[["2020",12,4]]},"issued":{"date-parts":[["2020"]]}}}],"schema":"https://github.com/citation-style-language/schema/raw/master/csl-citation.json"}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(Barnes et al., 2020)</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and a family (</w:t>
      </w:r>
      <w:proofErr w:type="spellStart"/>
      <w:r w:rsidR="004534B5" w:rsidRPr="002579E0">
        <w:rPr>
          <w:rFonts w:ascii="Times New Roman" w:hAnsi="Times New Roman" w:cs="Times New Roman"/>
        </w:rPr>
        <w:t>Xanthamonadaceae</w:t>
      </w:r>
      <w:proofErr w:type="spellEnd"/>
      <w:r w:rsidR="004534B5" w:rsidRPr="002579E0">
        <w:rPr>
          <w:rFonts w:ascii="Times New Roman" w:hAnsi="Times New Roman" w:cs="Times New Roman"/>
        </w:rPr>
        <w:t xml:space="preserve">) known for poor dispersal capabilities and tight relationships with hosts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{"citationID":"6TQmp3lv","properties":{"formattedCitation":"(Nemergut et al., 2013)","plainCitation":"(Nemergut et al., 2013)","noteIndex":0},"citationItems":[{"id":466,"uris":["http://zotero.org/users/6401767/items/7MIMSZG4"],"itemData":{"id":466,"type":"article-journal","container-title":"Microbiology and Molecular Biology Reviews","DOI":"10.1128/MMBR.00051-12","ISSN":"1092-2172","issue":"3","journalAbbreviation":"Microbiology and Molecular Biology Reviews","language":"en","page":"342-356","source":"DOI.org (Crossref)","title":"Patterns and Processes of Microbial Community Assembly","volume":"77","author":[{"family":"Nemergut","given":"D. R."},{"family":"Schmidt","given":"S. K."},{"family":"Fukami","given":"T."},{"family":"O'Neill","given":"S. P."},{"family":"Bilinski","given":"T. M."},{"family":"Stanish","given":"L. F."},{"family":"Knelman","given":"J. E."},{"family":"Darcy","given":"J. L."},{"family":"Lynch","given":"R. C."},{"family":"Wickey","given":"P."},{"family":"Ferrenberg","given":"S."}],"issued":{"date-parts":[["2013",9,1]]}}}],"schema":"https://github.com/citation-style-language/schema/raw/master/csl-citation.json"}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(Nemergut et al., 2013)</w:t>
      </w:r>
      <w:r w:rsidR="004534B5" w:rsidRPr="002579E0">
        <w:rPr>
          <w:rFonts w:ascii="Times New Roman" w:hAnsi="Times New Roman" w:cs="Times New Roman"/>
        </w:rPr>
        <w:fldChar w:fldCharType="end"/>
      </w:r>
      <w:r w:rsidR="004534B5" w:rsidRPr="002579E0">
        <w:rPr>
          <w:rFonts w:ascii="Times New Roman" w:hAnsi="Times New Roman" w:cs="Times New Roman"/>
        </w:rPr>
        <w:t>. This family was also found to have genetic differentiation and positive associations with other terrestrial salamander (</w:t>
      </w:r>
      <w:proofErr w:type="spellStart"/>
      <w:r w:rsidR="004534B5" w:rsidRPr="002579E0">
        <w:rPr>
          <w:rFonts w:ascii="Times New Roman" w:hAnsi="Times New Roman" w:cs="Times New Roman"/>
          <w:i/>
          <w:iCs/>
        </w:rPr>
        <w:t>Plethodon</w:t>
      </w:r>
      <w:proofErr w:type="spellEnd"/>
      <w:r w:rsidR="004534B5" w:rsidRPr="002579E0">
        <w:rPr>
          <w:rFonts w:ascii="Times New Roman" w:hAnsi="Times New Roman" w:cs="Times New Roman"/>
          <w:i/>
          <w:iCs/>
        </w:rPr>
        <w:t xml:space="preserve"> </w:t>
      </w:r>
      <w:proofErr w:type="spellStart"/>
      <w:r w:rsidR="004534B5" w:rsidRPr="002579E0">
        <w:rPr>
          <w:rFonts w:ascii="Times New Roman" w:hAnsi="Times New Roman" w:cs="Times New Roman"/>
          <w:i/>
          <w:iCs/>
        </w:rPr>
        <w:t>jordani</w:t>
      </w:r>
      <w:proofErr w:type="spellEnd"/>
      <w:r w:rsidR="004534B5" w:rsidRPr="002579E0">
        <w:rPr>
          <w:rFonts w:ascii="Times New Roman" w:hAnsi="Times New Roman" w:cs="Times New Roman"/>
        </w:rPr>
        <w:t xml:space="preserve">) hosts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{"citationID":"cOFQNgGs","properties":{"formattedCitation":"(Fitzpatrick &amp; Allison, 2014)","plainCitation":"(Fitzpatrick &amp; Allison, 2014)","noteIndex":0},"citationItems":[{"id":147,"uris":["http://zotero.org/users/6401767/items/SGZA38D6"],"itemData":{"id":147,"type":"article-journal","abstract":"Bacteria on salamander skin are not exactly the same as the bacteria on the logs they hide under, but the differences are surprisingly subtle.","container-title":"FEMS Microbiology Ecology","DOI":"10.1111/1574-6941.12314","ISSN":"0168-6496","issue":"3","journalAbbreviation":"FEMS Microbiol Ecol","language":"en","note":"publisher: Oxford Academic","page":"482-494","source":"academic.oup.com","title":"Similarity and differentiation between bacteria associated with skin of salamanders (Plethodon jordani) and free-living assemblages","volume":"88","author":[{"family":"Fitzpatrick","given":"Benjamin M."},{"family":"Allison","given":"Amanda L."}],"issued":{"date-parts":[["2014",6,1]]}}}],"schema":"https://github.com/citation-style-language/schema/raw/master/csl-citation.json"}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(Fitzpatrick &amp; Allison, 2014)</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Three sequences with high indicator values could not be identified at the genus level, but only one genus, </w:t>
      </w:r>
      <w:r w:rsidR="004534B5" w:rsidRPr="002579E0">
        <w:rPr>
          <w:rFonts w:ascii="Times New Roman" w:hAnsi="Times New Roman" w:cs="Times New Roman"/>
          <w:i/>
          <w:iCs/>
        </w:rPr>
        <w:t>Mycobacterium</w:t>
      </w:r>
      <w:r w:rsidR="004534B5" w:rsidRPr="002579E0">
        <w:rPr>
          <w:rFonts w:ascii="Times New Roman" w:hAnsi="Times New Roman" w:cs="Times New Roman"/>
        </w:rPr>
        <w:t xml:space="preserve">, had multiple sequences identified as indicators (2). At the family level, three members each of </w:t>
      </w:r>
      <w:proofErr w:type="spellStart"/>
      <w:r w:rsidR="004534B5" w:rsidRPr="002579E0">
        <w:rPr>
          <w:rFonts w:ascii="Times New Roman" w:hAnsi="Times New Roman" w:cs="Times New Roman"/>
        </w:rPr>
        <w:t>Comamonadaceae</w:t>
      </w:r>
      <w:proofErr w:type="spellEnd"/>
      <w:r w:rsidR="004534B5" w:rsidRPr="002579E0">
        <w:rPr>
          <w:rFonts w:ascii="Times New Roman" w:hAnsi="Times New Roman" w:cs="Times New Roman"/>
        </w:rPr>
        <w:t xml:space="preserve">, </w:t>
      </w:r>
      <w:proofErr w:type="spellStart"/>
      <w:r w:rsidR="004534B5" w:rsidRPr="002579E0">
        <w:rPr>
          <w:rFonts w:ascii="Times New Roman" w:hAnsi="Times New Roman" w:cs="Times New Roman"/>
        </w:rPr>
        <w:t>Sphingomonadaceae</w:t>
      </w:r>
      <w:proofErr w:type="spellEnd"/>
      <w:r w:rsidR="004534B5" w:rsidRPr="002579E0">
        <w:rPr>
          <w:rFonts w:ascii="Times New Roman" w:hAnsi="Times New Roman" w:cs="Times New Roman"/>
        </w:rPr>
        <w:t xml:space="preserve">, and </w:t>
      </w:r>
      <w:proofErr w:type="spellStart"/>
      <w:r w:rsidR="004534B5" w:rsidRPr="002579E0">
        <w:rPr>
          <w:rFonts w:ascii="Times New Roman" w:hAnsi="Times New Roman" w:cs="Times New Roman"/>
        </w:rPr>
        <w:t>Beijerinckiaceae</w:t>
      </w:r>
      <w:proofErr w:type="spellEnd"/>
      <w:r w:rsidR="004534B5" w:rsidRPr="002579E0">
        <w:rPr>
          <w:rFonts w:ascii="Times New Roman" w:hAnsi="Times New Roman" w:cs="Times New Roman"/>
        </w:rPr>
        <w:t xml:space="preserve"> had positive correlations. Taxa in </w:t>
      </w:r>
      <w:proofErr w:type="spellStart"/>
      <w:r w:rsidR="004534B5" w:rsidRPr="002579E0">
        <w:rPr>
          <w:rFonts w:ascii="Times New Roman" w:hAnsi="Times New Roman" w:cs="Times New Roman"/>
        </w:rPr>
        <w:t>Beijerinckiaceae</w:t>
      </w:r>
      <w:proofErr w:type="spellEnd"/>
      <w:r w:rsidR="004534B5" w:rsidRPr="002579E0">
        <w:rPr>
          <w:rFonts w:ascii="Times New Roman" w:hAnsi="Times New Roman" w:cs="Times New Roman"/>
        </w:rPr>
        <w:t xml:space="preserve"> have been shown to undergo strong seasonal variation in the frog cutaneous microbiome, with the highest abundance in summer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{"citationID":"u0q3RiIL","properties":{"formattedCitation":"(A. J. Douglas et al., 2020)","plainCitation":"(A. J. Douglas et al., 2020)","noteIndex":0},"citationItems":[{"id":"aW8cvW4I/YM0tXChW","uris":["http://zotero.org/users/6401767/items/VEUBWDN5"],"itemData":{"id":173,"type":"article-journal","abstract":"&lt;h3&gt;Abstract&lt;/h3&gt; &lt;p&gt;While a number of amphibian microbiomes have been characterized, it is unclear how microbial communities might vary in response to seasonal changes in the environment and the behaviors which many amphibians exhibit. Given recent studies demonstrating the importance of the skin microbiome in frog innate immune defenses against pathogens, investigating how changes in the environment impact the microbial species present, and thus their potential contribution to skin host defense, will provide a better understanding of conditions that may alter host susceptibility to pathogens in their environment. We sampled the skin microbiome of North American wood frogs (&lt;i&gt;Rana sylvatica&lt;/i&gt;) from two breeding ponds in the spring, along with the microbial community present in their vernal breeding pools, and frogs from the nearby forest floor in the summer and fall to determine whether the microbial composition differs by sex, vernal pond site, or temporally across season (spring, summer, fall). Taxon abundance data reveals a profile of bacterial phyla similar to those previously described on anuran skin, with Proteobacteria, Bacteroidetes, and Actinobacteria dominating the wood frog skin microbiome. Our results indicate that sex had no significant effect on skin microbiota diversity, however, this may be due to our limited female sample size. Vernal pool site had a small but significant effect on skin microbiota, but skin-associated communities were more similar to each other than to the communities observed in the frogs’ respective pond water. Across seasons, diversity analyses suggest there are significant differences between the skin microbiome of frogs from spring and summer/fall groups while the average α-diversity per frog remained consistent. Bacterial genera known to have antifungal properties such as &lt;i&gt;Pseudomonas&lt;/i&gt; spp. and &lt;i&gt;Rhizobium&lt;/i&gt; spp. were prevalent, and several were considered core microbiota during at least one season. These results illustrate seasonal variation in wood frog skin microbiome structure and highlight the importance of considering temporal trends in an amphibian microbiome, particularly for species whose life history requires recurrent shifts in habitat and behavior.&lt;/p&gt;","container-title":"bioRxiv","DOI":"10.1101/2020.01.28.921544","language":"en","license":"© 2020, Posted by Cold Spring Harbor Laboratory. This pre-print is available under a Creative Commons License (Attribution-NonCommercial-NoDerivs 4.0 International), CC BY-NC-ND 4.0, as described at http://creativecommons.org/licenses/by-nc-nd/4.0/","note":"publisher: Cold Spring Harbor Laboratory\nsection: New Results","page":"2020.01.28.921544","source":"www.biorxiv.org","title":"Composition of the North American wood frog (Rana sylvatica) skin microbiome and seasonal variation in community structure","author":[{"family":"Douglas","given":"Alexander J."},{"family":"Hug","given":"Laura A."},{"family":"Katzenback","given":"Barbara A."}],"issued":{"date-parts":[["2020",1,29]]}}}],"schema":"https://github.com/citation-style-language/schema/raw/master/csl-citation.json"}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(A. J. Douglas et al., 2020)</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while members of </w:t>
      </w:r>
      <w:proofErr w:type="spellStart"/>
      <w:r w:rsidR="004534B5" w:rsidRPr="002579E0">
        <w:rPr>
          <w:rFonts w:ascii="Times New Roman" w:hAnsi="Times New Roman" w:cs="Times New Roman"/>
        </w:rPr>
        <w:t>Comamonadaceae</w:t>
      </w:r>
      <w:proofErr w:type="spellEnd"/>
      <w:r w:rsidR="004534B5" w:rsidRPr="002579E0">
        <w:rPr>
          <w:rFonts w:ascii="Times New Roman" w:hAnsi="Times New Roman" w:cs="Times New Roman"/>
        </w:rPr>
        <w:t xml:space="preserve"> have been associated with potential anti-Bd capabilities in laboratory assays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{"citationID":"5PimCZf4","properties":{"formattedCitation":"(Kruger, 2020)","plainCitation":"(Kruger, 2020)","noteIndex":0},"citationItems":[{"id":404,"uris":["http://zotero.org/users/6401767/items/5G3B97IH"],"itemData":{"id":404,"type":"article-journal","abstract":"Describing the structure and function of the amphibian cutaneous microbiome has gained importance with the spread of Batrachochytrium dendrobatidis (Bd), the fungal pathogen that can cause the skin disease chytridiomycosis. Sampling amphibian skin microbiota is needed to characterize current infection status and to help predict future susceptibility to Bd based on microbial composition since some skin microbes have antifungal capabilities that may confer disease resistance. Here, I use 16S rRNA sequencing to describe the composition and structure of the cutaneous microbiota of six species of amphibians. Frog skin samples were also tested for Bd, and I found 11.8% Bd prevalence among all individuals sampled (n = 76). Frog skin microbiota varied by host species and sampling site, but did not differ among Bd-positive and Bd-negative individuals. These results suggest that bacterial composition reflects host species and the environment, but does not reflect Bd infection among the species sampled here. Of the bacterial OTUs identified using an indicator species analysis as strongly associated with amphibians, significantly more indicator OTUs were putative anti-Bd taxa than would be expected based on the proportion of anti-Bd OTUs among all frog OTUs, suggesting strong associations between host species and anti-Bd OTUs. This relationship may partially explain why some of these frogs are asymptomatic carriers of Bd, but more work is needed to determine the other factors that contribute to interspecific variation in Bd susceptibility. This work provides important insights on inter- and intra-specific variation in microbial community composition, putative function, and disease dynamics in populations of amphibians that appear to be coexisting with Bd.","container-title":"Frontiers in Microbiology","ISSN":"1664-302X","source":"Frontiers","title":"Frog Skin Microbiota Vary With Host Species and Environment but Not Chytrid Infection","URL":"https://www.frontiersin.org/articles/10.3389/fmicb.2020.01330","volume":"11","author":[{"family":"Kruger","given":"Ariel"}],"accessed":{"date-parts":[["2023",12,17]]},"issued":{"date-parts":[["2020"]]}}}],"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(Kruger, 2020)</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w:t>
      </w:r>
      <w:proofErr w:type="spellStart"/>
      <w:r w:rsidR="004534B5" w:rsidRPr="002579E0">
        <w:rPr>
          <w:rFonts w:ascii="Times New Roman" w:hAnsi="Times New Roman" w:cs="Times New Roman"/>
        </w:rPr>
        <w:t>Spingomonadaceae</w:t>
      </w:r>
      <w:proofErr w:type="spellEnd"/>
      <w:r w:rsidR="004534B5" w:rsidRPr="002579E0">
        <w:rPr>
          <w:rFonts w:ascii="Times New Roman" w:hAnsi="Times New Roman" w:cs="Times New Roman"/>
        </w:rPr>
        <w:t xml:space="preserve"> is a family commonly found on amphibian skin, ranging from North America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{"citationID":"9yZrp6jZ","properties":{"formattedCitation":"(Hern\\uc0\\u225{}ndez-G\\uc0\\u243{}mez, Byrne, et al., 2020a)","plainCitation":"(Hernández-Gómez, Byrne, et al., 2020a)","noteIndex":0},"citationItems":[{"id":513,"uris":["http://zotero.org/users/6401767/items/A3YCBBYS"],"itemData":{"id":513,"type":"article-journal","abstract":"Invasive plants are major drivers of habitat modification and the scale of their impact is increasing globally as anthropogenic activities facilitate their spread. In California, an invasive plant genus of great concern is Eucalyptus. Eucalyptus leaves can alter soil chemistry and negatively affect underground macro- and microbial communities. Amphibians serve as excellent models to evaluate the effect of Eucalyptus invasion on ground-dwelling species as they predate on soil arthropods and incorporate soil microbes into their microbiotas. The skin microbiota is particularly important to amphibian health, suggesting that invasive plant species could ultimately affect amphibian populations. To investigate the potential for invasive vegetation to induce changes in microbial communities, we sampled microbial communities in the soil and on the skin of local amphibians. Specifically, we compared Batrachoseps attenuatus skin microbiomes in both Eucalyptus globulus (Myrtaceae) and native Quercus agriflolia (Fagaceae) dominated forests in the San Francisco Bay Area. We determined whether changes in microbial diversity and composition in both soil and Batrachoseps attenuatus skin were associated with dominant vegetation type. To evaluate animal health across vegetation types, we compared Batrachoseps attenuatus body condition and the presence/absence of the amphibian skin pathogen Batrachochytrium dendrobatidis. We found that Eucalyptus invasion had no measurable effect on soil microbial community diversity and a relatively small effect (compared to the effect of site identity) on community structure in the microhabitats sampled. In contrast, our results show that Batrachoseps attenuatus skin microbiota diversity was greater in Quercus dominated habitats. One amplicon sequence variant identified in the family Chlamydiaceae was observed in higher relative abundance among salamanders sampled in Eucalyptus dominated habitats. We also observed that Batrachoseps attenuatus body condition was higher in Quercus dominated habitats. Incidence of Batrachochytrium dendrobatidis across all individuals was very low (only one Batrachochytrium dendrobatidis positive individual). The effect on body condition demonstrates that although Eucalyptus may not always decrease amphibian abundance or diversity, it can potentially have cryptic negative effects. Our findings prompt further work to determine the mechanisms that lead to changes in the health and microbiome of native species post-plant invasion.","container-title":"PeerJ","DOI":"10.7717/peerj.8549","ISSN":"2167-8359","journalAbbreviation":"PeerJ","language":"eng","note":"PMID: 32117625\nPMCID: PMC7035873","page":"e8549","source":"PubMed","title":"Invasive vegetation affects amphibian skin microbiota and body condition","volume":"8","author":[{"family":"Hernández-Gómez","given":"Obed"},{"family":"Byrne","given":"Allison Q."},{"family":"Gunderson","given":"Alex R."},{"family":"Jenkinson","given":"Thomas S."},{"family":"Noss","given":"Clay F."},{"family":"Rothstein","given":"Andrew P."},{"family":"Womack","given":"Molly C."},{"family":"Rosenblum","given":"Erica B."}],"issued":{"date-parts":[["2020"]]}}}],"schema":"https://github.com/citation-style-language/schema/raw/master/csl-citation.json"} </w:instrText>
      </w:r>
      <w:r w:rsidR="004534B5" w:rsidRPr="002579E0">
        <w:rPr>
          <w:rFonts w:ascii="Times New Roman" w:hAnsi="Times New Roman" w:cs="Times New Roman"/>
        </w:rPr>
        <w:fldChar w:fldCharType="separate"/>
      </w:r>
      <w:r w:rsidR="004D2321" w:rsidRPr="004D2321">
        <w:rPr>
          <w:rFonts w:ascii="Times New Roman" w:hAnsi="Times New Roman" w:cs="Times New Roman"/>
        </w:rPr>
        <w:t>(Hernández-Gómez, Byrne, et al., 2020a)</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Europe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{"citationID":"FYTuNLBV","properties":{"formattedCitation":"(Sanchez et al., 2017)","plainCitation":"(Sanchez et al., 2017)","noteIndex":0},"citationItems":[{"id":331,"uris":["http://zotero.org/users/6401767/items/2IKKJU5M"],"itemData":{"id":331,"type":"article-journal","container-title":"Microbial Ecology","DOI":"10.1007/s00248-016-0863-0","ISSN":"0095-3628, 1432-184X","issue":"2","journalAbbreviation":"Microb Ecol","language":"en","page":"455-465","source":"DOI.org (Crossref)","title":"Cutaneous Bacterial Communities of a Poisonous Salamander: a Perspective from Life Stages, Body Parts and Environmental Conditions","title-short":"Cutaneous Bacterial Communities of a Poisonous Salamander","volume":"73","author":[{"family":"Sanchez","given":"Eugenia"},{"family":"Bletz","given":"Molly C."},{"family":"Duntsch","given":"Laura"},{"family":"Bhuju","given":"Sabin"},{"family":"Geffers","given":"Robert"},{"family":"Jarek","given":"Michael"},{"family":"Dohrmann","given":"Anja B."},{"family":"Tebbe","given":"Christoph C."},{"family":"Steinfartz","given":"Sebastian"},{"family":"Vences","given":"Miguel"}],"issued":{"date-parts":[["2017",2]]}}}],"schema":"https://github.com/citation-style-language/schema/raw/master/csl-citation.json"}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(Sanchez et al., 2017)</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the tropics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{"citationID":"sBMtJqKt","properties":{"formattedCitation":"(Hughey et al., 2017)","plainCitation":"(Hughey et al., 2017)","noteIndex":0},"citationItems":[{"id":285,"uris":["http://zotero.org/users/6401767/items/H4MPA3SB"],"itemData":{"id":285,"type":"article-journal","abstract":"Host-associated microbial communities are ubiquitous among animals, and serve important functions. For example, the bacterial skin microbiome of amphibians can play a role in preventing or reducing infection by the amphibian chytrid fungus, Batrachochytrium dendrobatidis. Evidence suggests that environmental bacteria likely serve as a source pool for at least some of the members of the amphibian skin bacterial community, underscoring the potential for local environmental changes to disrupt microbial community source pools that could be critical to the health of host organisms. However, few studies have assessed variation in the amphibian skin microbiome along clear environmental gradients, and so we know relatively little about how local environmental conditions influence microbiome diversity. We sampled the skin bacterial communities of Coqui frogs, Eleutherodactylus coqui (N = 77), along an elevational gradient in eastern Puerto Rico (0–875 m), with transects in two land use types: intact forest (N = 4 sites) and disturbed (N = 3 sites) forest. We found that alpha diversity (as assessed by Shannon, Simpson, and Phylogenetic Diversity indices) varied across sites, but this variation was not correlated with elevation or land use. Beta diversity (community structure), on the other hand, varied with site, elevation and land use, primarily due to changes in the relative abundance of certain bacterial OTUs (</w:instrText>
      </w:r>
      <w:r w:rsidR="004D2321">
        <w:rPr>
          <w:rFonts w:ascii="Cambria Math" w:hAnsi="Cambria Math" w:cs="Cambria Math"/>
        </w:rPr>
        <w:instrText>∼</w:instrText>
      </w:r>
      <w:r w:rsidR="004D2321">
        <w:rPr>
          <w:rFonts w:ascii="Times New Roman" w:hAnsi="Times New Roman" w:cs="Times New Roman"/>
        </w:rPr>
        <w:instrText xml:space="preserve">species) within these communities. Importantly, although microbiome diversity varied, E. coqui maintained a common core microbiota across all sites. Thus, our findings suggest that environmental conditions can influence the composition of the skin microbiome of terrestrial amphibians, but that some aspects of the microbiome remain consistent despite environmental variation.","container-title":"PeerJ","DOI":"10.7717/peerj.3688","ISSN":"2167-8359","journalAbbreviation":"PeerJ","language":"en","note":"publisher: PeerJ Inc.","page":"e3688","source":"peerj.com","title":"Skin bacterial microbiome of a generalist Puerto Rican frog varies along elevation and land use gradients","volume":"5","author":[{"family":"Hughey","given":"Myra C."},{"family":"Pena","given":"Janelle A."},{"family":"Reyes","given":"Roberto"},{"family":"Medina","given":"Daniel"},{"family":"Belden","given":"Lisa K."},{"family":"Burrowes","given":"Patricia A."}],"issued":{"date-parts":[["2017",8,29]]}}}],"schema":"https://github.com/citation-style-language/schema/raw/master/csl-citation.json"}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(Hughey et al., 2017)</w:t>
      </w:r>
      <w:r w:rsidR="004534B5" w:rsidRPr="002579E0">
        <w:rPr>
          <w:rFonts w:ascii="Times New Roman" w:hAnsi="Times New Roman" w:cs="Times New Roman"/>
        </w:rPr>
        <w:fldChar w:fldCharType="end"/>
      </w:r>
      <w:r w:rsidR="004534B5" w:rsidRPr="002579E0">
        <w:rPr>
          <w:rFonts w:ascii="Times New Roman" w:hAnsi="Times New Roman" w:cs="Times New Roman"/>
        </w:rPr>
        <w:t xml:space="preserve">, and Asia </w:t>
      </w:r>
      <w:r w:rsidR="004534B5"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{"citationID":"3AuZuQUG","properties":{"formattedCitation":"(L. Xu et al., 2020)","plainCitation":"(L. Xu et al., 2020)","noteIndex":0},"citationItems":[{"id":250,"uris":["http://zotero.org/users/6401767/items/USH2M6JU"],"itemData":{"id":250,"type":"article-journal","container-title":"mSystems","DOI":"https://doi.org/10.1128/ mSystems.00626-20.","ISSN":"1662-8128","journalAbbreviation":"mSystems","language":"eng","note":"PMID: 22222876\nPMCID: PMC6741532","source":"PubMed","title":"The Behavior of Amphibians Shapes Their Symbiotic Microbiomes","volume":"5","author":[{"family":"Xu","given":"Liangliang"},{"family":"Xiang","given":"Mengmeng"},{"family":"Zhu","given":"Wei"},{"family":"Zhang","given":"Mengjie"},{"family":"Chen","given":"Hua"},{"family":"Huang","given":"Jin"},{"family":"Chen","given":"Youhua"},{"family":"Chang","given":"Qing"},{"family":"Jiang","given":"Jianping"},{"family":"Zhu","given":"Lifeng"}],"issued":{"date-parts":[["2020"]]}}}],"schema":"https://github.com/citation-style-language/schema/raw/master/csl-citation.json"} </w:instrText>
      </w:r>
      <w:r w:rsidR="004534B5" w:rsidRPr="002579E0">
        <w:rPr>
          <w:rFonts w:ascii="Times New Roman" w:hAnsi="Times New Roman" w:cs="Times New Roman"/>
        </w:rPr>
        <w:fldChar w:fldCharType="separate"/>
      </w:r>
      <w:r w:rsidR="004D2321">
        <w:rPr>
          <w:rFonts w:ascii="Times New Roman" w:hAnsi="Times New Roman" w:cs="Times New Roman"/>
          <w:noProof/>
        </w:rPr>
        <w:t>(L. Xu et al., 2020)</w:t>
      </w:r>
      <w:r w:rsidR="004534B5" w:rsidRPr="002579E0">
        <w:rPr>
          <w:rFonts w:ascii="Times New Roman" w:hAnsi="Times New Roman" w:cs="Times New Roman"/>
        </w:rPr>
        <w:fldChar w:fldCharType="end"/>
      </w:r>
      <w:r w:rsidR="004534B5" w:rsidRPr="002579E0">
        <w:rPr>
          <w:rFonts w:ascii="Times New Roman" w:hAnsi="Times New Roman" w:cs="Times New Roman"/>
        </w:rPr>
        <w:t>.</w:t>
      </w:r>
    </w:p>
    <w:p w14:paraId="0DAB798A" w14:textId="13170D2F" w:rsidR="000B341F" w:rsidRDefault="004534B5" w:rsidP="000B341F">
      <w:pPr>
        <w:spacing w:line="360" w:lineRule="auto"/>
        <w:rPr>
          <w:rFonts w:ascii="Times New Roman" w:hAnsi="Times New Roman" w:cs="Times New Roman"/>
        </w:rPr>
      </w:pPr>
      <w:r w:rsidRPr="002579E0">
        <w:rPr>
          <w:rFonts w:ascii="Times New Roman" w:hAnsi="Times New Roman" w:cs="Times New Roman"/>
        </w:rPr>
        <w:tab/>
        <w:t xml:space="preserve">To assess whether these taxa are associated with a salamander species or the salamander skin characteristics more broadly, we conducted a multi-level pattern indicator species analysis using </w:t>
      </w:r>
      <w:r w:rsidR="005500CC">
        <w:rPr>
          <w:rFonts w:ascii="Times New Roman" w:hAnsi="Times New Roman" w:cs="Times New Roman"/>
        </w:rPr>
        <w:t>‘</w:t>
      </w:r>
      <w:proofErr w:type="spellStart"/>
      <w:r w:rsidRPr="002579E0">
        <w:rPr>
          <w:rFonts w:ascii="Times New Roman" w:hAnsi="Times New Roman" w:cs="Times New Roman"/>
        </w:rPr>
        <w:t>multipatt</w:t>
      </w:r>
      <w:proofErr w:type="spellEnd"/>
      <w:r w:rsidR="005500CC">
        <w:rPr>
          <w:rFonts w:ascii="Times New Roman" w:hAnsi="Times New Roman" w:cs="Times New Roman"/>
        </w:rPr>
        <w:t>’</w:t>
      </w:r>
      <w:r w:rsidRPr="002579E0">
        <w:rPr>
          <w:rFonts w:ascii="Times New Roman" w:hAnsi="Times New Roman" w:cs="Times New Roman"/>
        </w:rPr>
        <w:t xml:space="preserve"> in the R package </w:t>
      </w:r>
      <w:proofErr w:type="spellStart"/>
      <w:r w:rsidRPr="002579E0">
        <w:rPr>
          <w:rFonts w:ascii="Times New Roman" w:hAnsi="Times New Roman" w:cs="Times New Roman"/>
        </w:rPr>
        <w:t>indicspecies</w:t>
      </w:r>
      <w:proofErr w:type="spellEnd"/>
      <w:r w:rsidR="00D77B0C">
        <w:rPr>
          <w:rFonts w:ascii="Times New Roman" w:hAnsi="Times New Roman" w:cs="Times New Roman"/>
        </w:rPr>
        <w:t xml:space="preserve"> </w:t>
      </w:r>
      <w:r w:rsidR="00E31D6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{"citationID":"a12vtse3uij","properties":{"formattedCitation":"(De C\\uc0\\u225{}ceres et al., 2010)","plainCitation":"(De Cáceres et al., 2010)","noteIndex":0},"citationItems":[{"id":482,"uris":["http://zotero.org/users/6401767/items/5TZG2BF8"],"itemData":{"id":482,"type":"article-journal","abstract":"Indicator species are species that are used as ecological indicators of community or habitat types, environmental conditions, or environmental changes. In order to determine indicator species, the characteristic to be predicted is represented in the form of a classification of the sites, which is compared to the patterns of distribution of the species found at the sites. Indicator species analysis should take into account the fact that species have different niche breadths: if a species is related to the conditions prevailing in two or more groups of sites, an indicator species analysis undertaken on individual groups of sites may fail to reveal this association. In this paper, we suggest improving indicator species analysis by considering all possible combinations of groups of sites and selecting the combination for which the species can be best used as indicator. When using a correlation index, such as the point-biserial correlation, the method yields the combination where the difference between the observed and expected abundance/frequency of the species is the largest. When an indicator value index (IndVal) is used, the method provides the set of site-groups that best matches the observed distribution pattern of the species. We illustrate the advantages of the method in three different examples. Consideration of combinations of groups of sites provides an extra flexibility to qualitatively model the habitat preferences of the species of interest. The method also allows users to cross multiple classifications of the same sites, increasing the amount of information resulting from the analysis. When applied to community types, it allows one to distinguish those species that characterize individual types from those that characterize the relationships between them. This distinction is useful to determine the number of types that maximizes the number of indicator species.","container-title":"Oikos","ISSN":"0030-1299","issue":"10","note":"publisher: Wiley","page":"1674-1684","source":"JSTOR","title":"Improving indicator species analysis by combining groups of sites","volume":"119","author":[{"family":"De Cáceres","given":"Miquel"},{"family":"Legendre","given":"Pierre"},{"family":"Moretti","given":"Marco"}],"issued":{"date-parts":[["2010"]]}}}],"schema":"https://github.com/citation-style-language/schema/raw/master/csl-citation.json"} </w:instrText>
      </w:r>
      <w:r w:rsidR="00E31D68">
        <w:rPr>
          <w:rFonts w:ascii="Times New Roman" w:hAnsi="Times New Roman" w:cs="Times New Roman"/>
        </w:rPr>
        <w:fldChar w:fldCharType="separate"/>
      </w:r>
      <w:r w:rsidR="004D2321" w:rsidRPr="004D2321">
        <w:rPr>
          <w:rFonts w:ascii="Times New Roman" w:hAnsi="Times New Roman" w:cs="Times New Roman"/>
        </w:rPr>
        <w:t>(De Cáceres et al., 2010)</w:t>
      </w:r>
      <w:r w:rsidR="00E31D68">
        <w:rPr>
          <w:rFonts w:ascii="Times New Roman" w:hAnsi="Times New Roman" w:cs="Times New Roman"/>
        </w:rPr>
        <w:fldChar w:fldCharType="end"/>
      </w:r>
      <w:r w:rsidRPr="002579E0">
        <w:rPr>
          <w:rFonts w:ascii="Times New Roman" w:hAnsi="Times New Roman" w:cs="Times New Roman"/>
        </w:rPr>
        <w:t xml:space="preserve">. This identifies ASVs associated with specific groups but can also identify ASVs associated with combinations of groups, making it useful for understanding whether salamander hosts contain species-specific ASVs, or whether the small set of indicators described above is a result of convergence (i.e., recruitment by hosts of multiple </w:t>
      </w:r>
      <w:r w:rsidR="00E547A1" w:rsidRPr="002579E0">
        <w:rPr>
          <w:rFonts w:ascii="Times New Roman" w:hAnsi="Times New Roman" w:cs="Times New Roman"/>
        </w:rPr>
        <w:t xml:space="preserve">species). Because </w:t>
      </w:r>
      <w:r w:rsidR="00E547A1" w:rsidRPr="002579E0">
        <w:rPr>
          <w:rFonts w:ascii="Times New Roman" w:hAnsi="Times New Roman" w:cs="Times New Roman"/>
          <w:i/>
          <w:iCs/>
        </w:rPr>
        <w:t xml:space="preserve">P. </w:t>
      </w:r>
      <w:proofErr w:type="spellStart"/>
      <w:r w:rsidR="00E547A1" w:rsidRPr="002579E0">
        <w:rPr>
          <w:rFonts w:ascii="Times New Roman" w:hAnsi="Times New Roman" w:cs="Times New Roman"/>
          <w:i/>
          <w:iCs/>
        </w:rPr>
        <w:t>teyahalee</w:t>
      </w:r>
      <w:proofErr w:type="spellEnd"/>
      <w:r w:rsidR="00E547A1" w:rsidRPr="002579E0">
        <w:rPr>
          <w:rFonts w:ascii="Times New Roman" w:hAnsi="Times New Roman" w:cs="Times New Roman"/>
        </w:rPr>
        <w:t xml:space="preserve"> was poorly represented in </w:t>
      </w:r>
      <w:r w:rsidR="00FB3A19" w:rsidRPr="002579E0">
        <w:rPr>
          <w:rFonts w:ascii="Times New Roman" w:hAnsi="Times New Roman" w:cs="Times New Roman"/>
        </w:rPr>
        <w:t>sampling (5 samples from a single site), we removed these samples and their associated cover objects, leaving us with four species/microhabitat groupings across three sites. Results indicated</w:t>
      </w:r>
      <w:r w:rsidR="00FB3A19">
        <w:rPr>
          <w:rFonts w:ascii="Times New Roman" w:hAnsi="Times New Roman" w:cs="Times New Roman"/>
        </w:rPr>
        <w:t xml:space="preserve"> </w:t>
      </w:r>
      <w:r w:rsidR="00FB3A19" w:rsidRPr="002579E0">
        <w:rPr>
          <w:rFonts w:ascii="Times New Roman" w:hAnsi="Times New Roman" w:cs="Times New Roman"/>
        </w:rPr>
        <w:t>each host salamander species possessed between 29-68 ASVs significantly associated with a single host species (</w:t>
      </w:r>
      <w:r w:rsidR="00FB3A19" w:rsidRPr="006B1308">
        <w:rPr>
          <w:rFonts w:ascii="Times New Roman" w:hAnsi="Times New Roman" w:cs="Times New Roman"/>
          <w:b/>
          <w:bCs/>
        </w:rPr>
        <w:t xml:space="preserve">Table </w:t>
      </w:r>
      <w:r w:rsidR="00FB3A19">
        <w:rPr>
          <w:rFonts w:ascii="Times New Roman" w:hAnsi="Times New Roman" w:cs="Times New Roman"/>
          <w:b/>
          <w:bCs/>
        </w:rPr>
        <w:t>A</w:t>
      </w:r>
      <w:r w:rsidR="00FB3A19" w:rsidRPr="006B1308">
        <w:rPr>
          <w:rFonts w:ascii="Times New Roman" w:hAnsi="Times New Roman" w:cs="Times New Roman"/>
          <w:b/>
          <w:bCs/>
        </w:rPr>
        <w:t>1</w:t>
      </w:r>
      <w:r w:rsidR="00FB3A19" w:rsidRPr="002579E0">
        <w:rPr>
          <w:rFonts w:ascii="Times New Roman" w:hAnsi="Times New Roman" w:cs="Times New Roman"/>
        </w:rPr>
        <w:t xml:space="preserve">). However, this number was dwarfed by the number of </w:t>
      </w:r>
      <w:proofErr w:type="gramStart"/>
      <w:r w:rsidR="00FB3A19" w:rsidRPr="002579E0">
        <w:rPr>
          <w:rFonts w:ascii="Times New Roman" w:hAnsi="Times New Roman" w:cs="Times New Roman"/>
        </w:rPr>
        <w:t>sequence</w:t>
      </w:r>
      <w:proofErr w:type="gramEnd"/>
      <w:r w:rsidR="00FB3A19" w:rsidRPr="002579E0">
        <w:rPr>
          <w:rFonts w:ascii="Times New Roman" w:hAnsi="Times New Roman" w:cs="Times New Roman"/>
        </w:rPr>
        <w:t xml:space="preserve"> </w:t>
      </w:r>
    </w:p>
    <w:p w14:paraId="70291DD1" w14:textId="0EE83D1A" w:rsidR="004D2321" w:rsidRDefault="004D2321" w:rsidP="000B341F">
      <w:pPr>
        <w:pStyle w:val="Caption"/>
        <w:jc w:val="center"/>
        <w:rPr>
          <w:rFonts w:ascii="Times New Roman" w:hAnsi="Times New Roman" w:cs="Times New Roman"/>
        </w:rPr>
      </w:pPr>
      <w:r>
        <w:rPr>
          <w:rFonts w:ascii="Times New Roman" w:hAnsi="Times New Roman" w:cs="Times New Roman"/>
        </w:rPr>
        <w:br w:type="page"/>
      </w:r>
    </w:p>
    <w:p w14:paraId="74205B93" w14:textId="3E63B650" w:rsidR="004D2321" w:rsidRDefault="00E547A1" w:rsidP="00E547A1">
      <w:pPr>
        <w:spacing w:line="360" w:lineRule="auto"/>
        <w:rPr>
          <w:rFonts w:ascii="Times New Roman" w:hAnsi="Times New Roman" w:cs="Times New Roman"/>
        </w:rPr>
      </w:pPr>
      <w:r w:rsidRPr="002579E0">
        <w:rPr>
          <w:rFonts w:ascii="Times New Roman" w:hAnsi="Times New Roman" w:cs="Times New Roman"/>
        </w:rPr>
        <w:lastRenderedPageBreak/>
        <w:t xml:space="preserve">identified using the point-biserial correlation coefficient. These were the sequence variants belonging to the genera </w:t>
      </w:r>
      <w:r w:rsidRPr="002579E0">
        <w:rPr>
          <w:rFonts w:ascii="Times New Roman" w:hAnsi="Times New Roman" w:cs="Times New Roman"/>
          <w:i/>
          <w:iCs/>
        </w:rPr>
        <w:t>Stenotrophomonas</w:t>
      </w:r>
      <w:r w:rsidRPr="002579E0">
        <w:rPr>
          <w:rFonts w:ascii="Times New Roman" w:hAnsi="Times New Roman" w:cs="Times New Roman"/>
        </w:rPr>
        <w:t xml:space="preserve">, </w:t>
      </w:r>
      <w:proofErr w:type="spellStart"/>
      <w:r w:rsidRPr="002579E0">
        <w:rPr>
          <w:rFonts w:ascii="Times New Roman" w:hAnsi="Times New Roman" w:cs="Times New Roman"/>
          <w:i/>
          <w:iCs/>
        </w:rPr>
        <w:t>Dactylosporangium</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i/>
          <w:iCs/>
        </w:rPr>
        <w:t>Cutibacterium</w:t>
      </w:r>
      <w:proofErr w:type="spellEnd"/>
      <w:r w:rsidRPr="002579E0">
        <w:rPr>
          <w:rFonts w:ascii="Times New Roman" w:hAnsi="Times New Roman" w:cs="Times New Roman"/>
        </w:rPr>
        <w:t xml:space="preserve">, and </w:t>
      </w:r>
      <w:proofErr w:type="spellStart"/>
      <w:r w:rsidRPr="002579E0">
        <w:rPr>
          <w:rFonts w:ascii="Times New Roman" w:hAnsi="Times New Roman" w:cs="Times New Roman"/>
          <w:i/>
          <w:iCs/>
        </w:rPr>
        <w:t>Methylobacterium</w:t>
      </w:r>
      <w:r w:rsidRPr="002579E0">
        <w:rPr>
          <w:rFonts w:ascii="Times New Roman" w:hAnsi="Times New Roman" w:cs="Times New Roman"/>
        </w:rPr>
        <w:t>-</w:t>
      </w:r>
      <w:r w:rsidRPr="002579E0">
        <w:rPr>
          <w:rFonts w:ascii="Times New Roman" w:hAnsi="Times New Roman" w:cs="Times New Roman"/>
          <w:i/>
          <w:iCs/>
        </w:rPr>
        <w:t>Methylorubrum</w:t>
      </w:r>
      <w:proofErr w:type="spellEnd"/>
      <w:r w:rsidRPr="002579E0">
        <w:rPr>
          <w:rFonts w:ascii="Times New Roman" w:hAnsi="Times New Roman" w:cs="Times New Roman"/>
        </w:rPr>
        <w:t>. The results of both indicator species broadly show salamander skin microbiomes are enriched for a subset of microbes relatively uncommon in environmental swabs, but specificity is driven predominately by local effects, and evidence for ‘salamander-specific’ microbes is limited to a tiny subset of microbes.</w:t>
      </w:r>
      <w:r>
        <w:rPr>
          <w:rFonts w:ascii="Times New Roman" w:hAnsi="Times New Roman" w:cs="Times New Roman"/>
        </w:rPr>
        <w:t xml:space="preserve"> </w:t>
      </w:r>
    </w:p>
    <w:p w14:paraId="1B2E590E" w14:textId="186618B5" w:rsidR="00E547A1" w:rsidRPr="002579E0" w:rsidRDefault="004534B5" w:rsidP="004D2321">
      <w:pPr>
        <w:spacing w:line="360" w:lineRule="auto"/>
        <w:ind w:firstLine="720"/>
        <w:rPr>
          <w:rFonts w:ascii="Times New Roman" w:hAnsi="Times New Roman" w:cs="Times New Roman"/>
        </w:rPr>
      </w:pPr>
      <w:r w:rsidRPr="002579E0">
        <w:rPr>
          <w:rFonts w:ascii="Times New Roman" w:hAnsi="Times New Roman" w:cs="Times New Roman"/>
        </w:rPr>
        <w:t xml:space="preserve">The top 10 phyla in our samples encompassed 70% of all taxa in our dataset while capturing 95.6% of relative abundance in pooled aquatic cover object samples, 97.5% of relative abundance in pooled terrestrial cover object samples, 95.6 % of relative abundance in pooled aquatic salamander samples, and 95.5% of relative abundance in pooled terrestrial salamander samples. The dominant phyla in our samples, regardless of sample type, were Proteobacteria followed by </w:t>
      </w:r>
      <w:proofErr w:type="spellStart"/>
      <w:r w:rsidRPr="002579E0">
        <w:rPr>
          <w:rFonts w:ascii="Times New Roman" w:hAnsi="Times New Roman" w:cs="Times New Roman"/>
        </w:rPr>
        <w:t>Acidobacteriota</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Actinobacteriota</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Bacteroidota</w:t>
      </w:r>
      <w:proofErr w:type="spellEnd"/>
      <w:r w:rsidRPr="002579E0">
        <w:rPr>
          <w:rFonts w:ascii="Times New Roman" w:hAnsi="Times New Roman" w:cs="Times New Roman"/>
        </w:rPr>
        <w:t xml:space="preserve">, and </w:t>
      </w:r>
      <w:proofErr w:type="spellStart"/>
      <w:r w:rsidRPr="002579E0">
        <w:rPr>
          <w:rFonts w:ascii="Times New Roman" w:hAnsi="Times New Roman" w:cs="Times New Roman"/>
        </w:rPr>
        <w:t>Verrucomicrobiota</w:t>
      </w:r>
      <w:proofErr w:type="spellEnd"/>
      <w:r w:rsidRPr="002579E0">
        <w:rPr>
          <w:rFonts w:ascii="Times New Roman" w:hAnsi="Times New Roman" w:cs="Times New Roman"/>
        </w:rPr>
        <w:t xml:space="preserve"> (</w:t>
      </w:r>
      <w:r w:rsidR="00D71824">
        <w:rPr>
          <w:rFonts w:ascii="Times New Roman" w:hAnsi="Times New Roman" w:cs="Times New Roman"/>
          <w:b/>
          <w:bCs/>
        </w:rPr>
        <w:t>Fig</w:t>
      </w:r>
      <w:r w:rsidR="00006494">
        <w:rPr>
          <w:rFonts w:ascii="Times New Roman" w:hAnsi="Times New Roman" w:cs="Times New Roman"/>
          <w:b/>
          <w:bCs/>
        </w:rPr>
        <w:t>. A4</w:t>
      </w:r>
      <w:r w:rsidRPr="002579E0">
        <w:rPr>
          <w:rFonts w:ascii="Times New Roman" w:hAnsi="Times New Roman" w:cs="Times New Roman"/>
        </w:rPr>
        <w:t xml:space="preserve">). Plotting the top 20 most abundant families accounted for just over 26% of total taxa and resulted in 54.1%, 60.3%, 51.5%, and 55.5% of relative abundance in each pooled sample types, following the same order as above. While families share common trends across sample types, differences can be observed in the relative contribution of each family. Aquatic environmental samples contained a higher relative abundance of </w:t>
      </w:r>
      <w:proofErr w:type="spellStart"/>
      <w:r w:rsidRPr="002579E0">
        <w:rPr>
          <w:rFonts w:ascii="Times New Roman" w:hAnsi="Times New Roman" w:cs="Times New Roman"/>
        </w:rPr>
        <w:t>Comamonadaceae</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Sphingomonadaceae</w:t>
      </w:r>
      <w:proofErr w:type="spellEnd"/>
      <w:r w:rsidRPr="002579E0">
        <w:rPr>
          <w:rFonts w:ascii="Times New Roman" w:hAnsi="Times New Roman" w:cs="Times New Roman"/>
        </w:rPr>
        <w:t xml:space="preserve">, and </w:t>
      </w:r>
      <w:proofErr w:type="spellStart"/>
      <w:r w:rsidRPr="002579E0">
        <w:rPr>
          <w:rFonts w:ascii="Times New Roman" w:hAnsi="Times New Roman" w:cs="Times New Roman"/>
        </w:rPr>
        <w:t>Pedosphaeraceae</w:t>
      </w:r>
      <w:proofErr w:type="spellEnd"/>
      <w:r w:rsidRPr="002579E0">
        <w:rPr>
          <w:rFonts w:ascii="Times New Roman" w:hAnsi="Times New Roman" w:cs="Times New Roman"/>
        </w:rPr>
        <w:t xml:space="preserve">, while terrestrial cover objects contained a higher relative abundance of </w:t>
      </w:r>
      <w:proofErr w:type="spellStart"/>
      <w:r w:rsidRPr="002579E0">
        <w:rPr>
          <w:rFonts w:ascii="Times New Roman" w:hAnsi="Times New Roman" w:cs="Times New Roman"/>
        </w:rPr>
        <w:t>Xanthobacteraceae</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rPr>
        <w:t>Acidobacteriaceae</w:t>
      </w:r>
      <w:proofErr w:type="spellEnd"/>
      <w:r w:rsidRPr="002579E0">
        <w:rPr>
          <w:rFonts w:ascii="Times New Roman" w:hAnsi="Times New Roman" w:cs="Times New Roman"/>
        </w:rPr>
        <w:t xml:space="preserve"> (</w:t>
      </w:r>
      <w:r w:rsidR="00D71824">
        <w:rPr>
          <w:rFonts w:ascii="Times New Roman" w:hAnsi="Times New Roman" w:cs="Times New Roman"/>
          <w:b/>
          <w:bCs/>
        </w:rPr>
        <w:t>Fig.</w:t>
      </w:r>
      <w:r w:rsidR="00006494">
        <w:rPr>
          <w:rFonts w:ascii="Times New Roman" w:hAnsi="Times New Roman" w:cs="Times New Roman"/>
          <w:b/>
          <w:bCs/>
        </w:rPr>
        <w:t xml:space="preserve"> A5</w:t>
      </w:r>
      <w:r w:rsidRPr="002579E0">
        <w:rPr>
          <w:rFonts w:ascii="Times New Roman" w:hAnsi="Times New Roman" w:cs="Times New Roman"/>
        </w:rPr>
        <w:t xml:space="preserve">). Both aquatic and terrestrial salamanders possessed a higher relative abundance of Pseudomonadaceae and </w:t>
      </w:r>
      <w:proofErr w:type="spellStart"/>
      <w:r w:rsidRPr="002579E0">
        <w:rPr>
          <w:rFonts w:ascii="Times New Roman" w:hAnsi="Times New Roman" w:cs="Times New Roman"/>
        </w:rPr>
        <w:t>Beijerinckiaceae</w:t>
      </w:r>
      <w:proofErr w:type="spellEnd"/>
      <w:r w:rsidRPr="002579E0">
        <w:rPr>
          <w:rFonts w:ascii="Times New Roman" w:hAnsi="Times New Roman" w:cs="Times New Roman"/>
        </w:rPr>
        <w:t xml:space="preserve"> than cover objects. Sequence variants in these families were identified to have strong associations with salamanders and are common symbionts found on amphibian skin. Pseudomonadaceae has been linked to TTX production in</w:t>
      </w:r>
      <w:r w:rsidR="004D2321">
        <w:rPr>
          <w:rFonts w:ascii="Times New Roman" w:hAnsi="Times New Roman" w:cs="Times New Roman"/>
        </w:rPr>
        <w:t xml:space="preserve"> </w:t>
      </w:r>
      <w:r w:rsidRPr="002579E0">
        <w:rPr>
          <w:rFonts w:ascii="Times New Roman" w:hAnsi="Times New Roman" w:cs="Times New Roman"/>
        </w:rPr>
        <w:t xml:space="preserve">newts and sex-specific compounds in frogs, with certain members also possessing anti-Bd capabilities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{"citationID":"pwJUhG3c","properties":{"formattedCitation":"(Brunetti et al., 2019; Vaelli et al., 2020; Woodhams et al., 2015)","plainCitation":"(Brunetti et al., 2019; Vaelli et al., 2020; Woodhams et al., 2015)","noteIndex":0},"citationItems":[{"id":162,"uris":["http://zotero.org/users/6401767/items/DU2JAHLN"],"itemData":{"id":162,"type":"article-journal","abstract":"Amphibians are known to possess a wide variety of compounds stored in their skin glands. While significant progress has been made in understanding the chemical diversity and biological relevance of alkaloids, amines, steroids, and peptides, most aspects of the odorous secretions are completely unknown. In this study, we examined sexual variations in the volatile profile from the skin of the tree frog Boana prasina and combined culture and culture-independent methods to investigate if microorganisms might be a source of these compounds. We found that sesquiterpenes, thioethers, and methoxypyrazines are major contributors to the observed sex differences. We also observed that each sex has a distinct profile of methoxypyrazines, and that the chemical origin of these compounds can be traced to a Pseudomonas sp. strain isolated from the frog’s skin. This symbiotic bacterium was present in almost all individuals examined from different sites and was maintained in captive conditions, supporting its significance as the source of methoxypyrazines in these frogs. Our results highlight the potential relevance of bacteria as a source of chemical signals in amphibians and contribute to increasing our understanding of the role that symbiotic associations have in animals.","container-title":"Proceedings of the National Academy of Sciences","DOI":"10.1073/pnas.1806834116","ISSN":"0027-8424, 1091-6490","issue":"6","journalAbbreviation":"PNAS","language":"en","license":"© 2019 . https://www.pnas.org/site/aboutpnas/licenses.xhtmlPublished under the PNAS license.","note":"publisher: National Academy of Sciences\nsection: Biological Sciences\nPMID: 30670649","page":"2124-2129","source":"www.pnas.org","title":"Symbiotic skin bacteria as a source for sex-specific scents in frogs","volume":"116","author":[{"family":"Brunetti","given":"Andrés E."},{"family":"Lyra","given":"Mariana L."},{"family":"Melo","given":"Weilan G. P."},{"family":"Andrade","given":"Laura E."},{"family":"Palacios-Rodríguez","given":"Pablo"},{"family":"Prado","given":"Bárbara M."},{"family":"Haddad","given":"Célio F. B."},{"family":"Pupo","given":"Mônica T."},{"family":"Lopes","given":"Norberto P."}],"issued":{"date-parts":[["2019",2,5]]}}},{"id":163,"uris":["http://zotero.org/users/6401767/items/9IE7APBV"],"itemData":{"id":163,"type":"article-journal","abstract":"Rough-skinned newts (Taricha granulosa) use tetrodotoxin (TTX) to block voltage-gated sodium (Nav) channels as a chemical defense against predation. Interestingly, newts exhibit extreme population-level variation in toxicity attributed to a coevolutionary arms race with TTX-resistant predatory snakes, but the source of TTX in newts is unknown. Here, we investigated whether symbiotic bacteria isolated from toxic newts could produce TTX. We characterized the skin-associated microbiota from a toxic and non-toxic population of newts and established pure cultures of isolated bacterial symbionts from toxic newts. We then screened bacterial culture media for TTX using LC-MS/MS and identified TTX-producing bacterial strains from four genera, including Aeromonas, Pseudomonas, Shewanella, and Sphingopyxis. Additionally, we sequenced the Nav channel gene family in toxic newts and found that newts expressed Nav channels with modified TTX binding sites, conferring extreme physiological resistance to TTX. This study highlights the complex interactions among adaptive physiology, animal-bacterial symbiosis, and ecological context.","container-title":"eLife","DOI":"10.7554/eLife.53898","ISSN":"2050-084X","note":"publisher: eLife Sciences Publications, Ltd","page":"e53898","source":"eLife","title":"The skin microbiome facilitates adaptive tetrodotoxin production in poisonous newts","volume":"9","author":[{"family":"Vaelli","given":"Patric M"},{"family":"Theis","given":"Kevin R"},{"family":"Williams","given":"Janet E"},{"family":"O'Connell","given":"Lauren A"},{"family":"Foster","given":"James A"},{"family":"Eisthen","given":"Heather L"}],"editor":[{"family":"Baldwin","given":"Ian T"},{"family":"Robert","given":"Christelle AM"},{"family":"Robert","given":"Christelle AM"},{"family":"González Montoya","given":"Mabel Cristina"}],"issued":{"date-parts":[["2020",4,7]]}}},{"id":97,"uris":["http://zotero.org/users/6401767/items/3YUD6CVJ"],"itemData":{"id":97,"type":"article-journal","abstract":"Microbial symbionts of vertebrate skin have an important function in defense of the host against pathogens. In particular, the emerging chytrid fungus Batrachochytrium dendrobatidis, causes widespread disease in amphibians but can be inhibited via secondary metabolites produced by many different skin-associated bacteria. Similarly, the fungal pathogens of terrestrial salamander eggs Mariannaea elegans and Rhizomucor variabilis are also inhibited by a variety of skin-associated bacteria. Indeed, probiotic therapy against fungal diseases is a recent approach in conservation medicine with growing experimental support. We present a comprehensive Antifungal Isolates Database of amphibian skin-associated bacteria that have been cultured, isolated, and tested for antifungal properties. At the start, this database includes nearly 2000 cultured bacterial isolates from 37 amphibian host species across 18 studies on five continents: Africa, Oceania, Europe, and North and South America. As the research community gathers information on additional isolates, the database will be updated periodically. The resulting database can serve as a conservation tool for amphibians and other organisms, and provides empirical data for comparative and bioinformatic studies. The database consists of a FASTA file containing 16S rRNA gene sequences of the bacterial isolates, and a metadata file containing information on the host species, life-stage, geographic region, and antifungal capacity and taxonomic identity of the isolate.","container-title":"Ecology","DOI":"10.1890/14-1837.1","ISSN":"1939-9170","issue":"2","language":"en","note":"_eprint: https://onlinelibrary.wiley.com/doi/pdf/10.1890/14-1837.1","page":"595-595","source":"Wiley Online Library","title":"Antifungal isolates database of amphibian skin-associated bacteria and function against emerging fungal pathogens","volume":"96","author":[{"family":"Woodhams","given":"Douglas C."},{"family":"Alford","given":"Ross A."},{"family":"Antwis","given":"Rachael E."},{"family":"Archer","given":"Holly"},{"family":"Becker","given":"Matthew H."},{"family":"Belden","given":"Lisa K."},{"family":"Bell","given":"Sara C."},{"family":"Bletz","given":"Molly"},{"family":"Daskin","given":"Joshua H."},{"family":"Davis","given":"Leyla R."},{"family":"Flechas","given":"Sandra V."},{"family":"Lauer","given":"Antje"},{"family":"Gonzalez","given":"Antonio"},{"family":"Harris","given":"Reid N."},{"family":"Holden","given":"Whitney M."},{"family":"Hughey","given":"Myra C."},{"family":"Ibáñez","given":"Roberto"},{"family":"Knight","given":"Rob"},{"family":"Kueneman","given":"Jordan"},{"family":"Rabemananjara","given":"Falitiana"},{"family":"Reinert","given":"Laura K."},{"family":"Rollins-Smith","given":"Louise A."},{"family":"Roman-Rodriguez","given":"Franklin"},{"family":"Shaw","given":"Stephanie D."},{"family":"Walke","given":"Jenifer B."},{"family":"McKenzie","given":"Valerie"}],"issued":{"date-parts":[["2015"]]}}}],"schema":"https://github.com/citation-style-language/schema/raw/master/csl-citation.json"}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(Brunetti et al., 2019; Vaelli et al., 2020; Woodhams et al., 2015)</w:t>
      </w:r>
      <w:r w:rsidRPr="002579E0">
        <w:rPr>
          <w:rFonts w:ascii="Times New Roman" w:hAnsi="Times New Roman" w:cs="Times New Roman"/>
        </w:rPr>
        <w:fldChar w:fldCharType="end"/>
      </w:r>
      <w:r w:rsidRPr="002579E0">
        <w:rPr>
          <w:rFonts w:ascii="Times New Roman" w:hAnsi="Times New Roman" w:cs="Times New Roman"/>
        </w:rPr>
        <w:t>.</w:t>
      </w:r>
    </w:p>
    <w:p w14:paraId="1A07D69D" w14:textId="77777777" w:rsidR="00882CCF" w:rsidRPr="002579E0" w:rsidRDefault="00882CCF" w:rsidP="00882CCF">
      <w:pPr>
        <w:spacing w:line="360" w:lineRule="auto"/>
        <w:jc w:val="center"/>
        <w:rPr>
          <w:rFonts w:ascii="Times New Roman" w:hAnsi="Times New Roman" w:cs="Times New Roman"/>
          <w:b/>
          <w:bCs/>
          <w:sz w:val="32"/>
          <w:szCs w:val="32"/>
        </w:rPr>
      </w:pPr>
      <w:r w:rsidRPr="002579E0">
        <w:rPr>
          <w:rFonts w:ascii="Times New Roman" w:hAnsi="Times New Roman" w:cs="Times New Roman"/>
          <w:b/>
          <w:bCs/>
          <w:sz w:val="32"/>
          <w:szCs w:val="32"/>
        </w:rPr>
        <w:t>Discussion</w:t>
      </w:r>
    </w:p>
    <w:p w14:paraId="39C0FDE8" w14:textId="17D783FF" w:rsidR="00882CCF" w:rsidRPr="002579E0" w:rsidRDefault="00882CCF" w:rsidP="00882CCF">
      <w:pPr>
        <w:spacing w:line="360" w:lineRule="auto"/>
        <w:rPr>
          <w:rFonts w:ascii="Times New Roman" w:hAnsi="Times New Roman" w:cs="Times New Roman"/>
        </w:rPr>
      </w:pPr>
      <w:r w:rsidRPr="002579E0">
        <w:rPr>
          <w:rFonts w:ascii="Times New Roman" w:hAnsi="Times New Roman" w:cs="Times New Roman"/>
          <w:b/>
          <w:bCs/>
        </w:rPr>
        <w:tab/>
      </w:r>
      <w:r w:rsidRPr="002579E0">
        <w:rPr>
          <w:rFonts w:ascii="Times New Roman" w:hAnsi="Times New Roman" w:cs="Times New Roman"/>
        </w:rPr>
        <w:t>With the growing awareness that host-associated microbiomes can affect host fitness, researchers have begun to examine how host ecology and evolution contribute to associated assemblages. Amphibian-associated communities have received attention due to the cutaneous</w:t>
      </w:r>
      <w:r w:rsidR="000B341F">
        <w:rPr>
          <w:rFonts w:ascii="Times New Roman" w:hAnsi="Times New Roman" w:cs="Times New Roman"/>
        </w:rPr>
        <w:t xml:space="preserve"> </w:t>
      </w:r>
      <w:r w:rsidRPr="002579E0">
        <w:rPr>
          <w:rFonts w:ascii="Times New Roman" w:hAnsi="Times New Roman" w:cs="Times New Roman"/>
        </w:rPr>
        <w:lastRenderedPageBreak/>
        <w:t xml:space="preserve">microbiome’s contribution to host resistance to chytrid. Our results support the existing body of research describing amphibian microbiome as a complex ecological community heavily dependent on the environmental reservoir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{"citationID":"PCy2vn0k","properties":{"formattedCitation":"(Fitzpatrick &amp; Allison, 2014; Loudon et al., 2014; Wolz et al., 2018)","plainCitation":"(Fitzpatrick &amp; Allison, 2014; Loudon et al., 2014; Wolz et al., 2018)","noteIndex":0},"citationItems":[{"id":147,"uris":["http://zotero.org/users/6401767/items/SGZA38D6"],"itemData":{"id":147,"type":"article-journal","abstract":"Bacteria on salamander skin are not exactly the same as the bacteria on the logs they hide under, but the differences are surprisingly subtle.","container-title":"FEMS Microbiology Ecology","DOI":"10.1111/1574-6941.12314","ISSN":"0168-6496","issue":"3","journalAbbreviation":"FEMS Microbiol Ecol","language":"en","note":"publisher: Oxford Academic","page":"482-494","source":"academic.oup.com","title":"Similarity and differentiation between bacteria associated with skin of salamanders (Plethodon jordani) and free-living assemblages","volume":"88","author":[{"family":"Fitzpatrick","given":"Benjamin M."},{"family":"Allison","given":"Amanda L."}],"issued":{"date-parts":[["2014",6,1]]}}},{"id":473,"uris":["http://zotero.org/users/6401767/items/9DTM5FIX"],"itemData":{"id":473,"type":"article-journal","abstract":"Beneficial cutaneous bacteria on amphibians can protect against the lethal disease chytridiomycosis, which has devastated many amphibian species and is caused by the fungus Batrachochytrium dendrobatidis. We describe the diversity of bacteria on red-backed salamanders (Plethodon cinereus) in the wild and the stability of these communities through time in captivity using culture-independent Illumina 16S rRNA gene sequencing. After field sampling, salamanders were housed with soil from the field or sterile media. The captive conditions led to different trajectories of bacterial communities. Eight OTUs present on &gt;90% of salamanders in the field, through time, and in both treatments were defined as the core community, suggesting that some bacteria are closely associated with the host and are independent of an environmental reservoir. One of these taxa, a Pseudomonas sp., was previously cultured from amphibians and found to be antifungal. As all host-associated bacteria were found in the soil reservoir, environmental microbes strongly influence host–microbial diversity and likely regulate the core community. Using PICRUSt, an exploratory bioinformatics tool to predict gene functions, we found that core skin bacteria provided similar gene functions to the entire community. We suggest that future experiments focus on testing whether core bacteria on salamander skin contribute to the observed resistance to chytridiomycosis in this species even under hygenic captive conditions. For disease-susceptible hosts, providing an environmental reservoir with defensive bacteria in captive-rearing programs may improve outcomes by increasing bacterial diversity on threatened amphibians or increasing the likelihood that defensive bacteria are available for colonization.","container-title":"The ISME Journal","DOI":"10.1038/ismej.2013.200","ISSN":"1751-7370","issue":"4","language":"en","license":"2014 The Author(s)","note":"number: 4\npublisher: Nature Publishing Group","page":"830-840","source":"www.nature.com","title":"Microbial community dynamics and effect of environmental microbial reservoirs on red-backed salamanders ( Plethodon cinereus )","volume":"8","author":[{"family":"Loudon","given":"Andrew H."},{"family":"Woodhams","given":"Douglas C."},{"family":"Parfrey","given":"Laura Wegener"},{"family":"Archer","given":"Holly"},{"family":"Knight","given":"Rob"},{"family":"McKenzie","given":"Valerie"},{"family":"Harris","given":"Reid N."}],"issued":{"date-parts":[["2014",4]]}}},{"id":461,"uris":["http://zotero.org/users/6401767/items/CTKFB4DV"],"itemData":{"id":461,"type":"article-journal","abstract":"The amphibian skin microbiome is recognized for its role in defence against pathogens, including the deadly fungal pathogen Batrachochytrium dendrobatidis (Bd). Yet, we have little understanding of evolutionary and ecological processes that structure these communities, especially for salamanders and closely related species. We investigated patterns in the distribution of bacterial communities on Plethodon salamander skin across host species and environments. Quantifying salamander skin microbiome structure contributes to our understanding of how host-associated bacteria are distributed across the landscape, among host species, and their putative relationship with disease. We characterized skin microbiome structure (alpha-diversity, beta-diversity and bacterial operational taxonomic unit [OTU] abundances) using 16S rRNA gene sequencing for co-occurring Plethodon salamander species (35 Plethodon cinereus, 17 Plethodon glutinosus, 10 Plethodon cylindraceus) at three localities to differentiate the effects of host species from environmental factors on the microbiome. We sampled the microbiome of P. cinereus along an elevational gradient (n = 50, 700–1,000 m a.s.l.) at one locality to determine whether elevation predicts microbiome structure. Finally, we quantified prevalence and abundance of putatively anti-Bd bacteria to determine if Bd-inhibitory bacteria are dominant microbiome members. Co-occurring salamanders had similar microbiome structure, but among sites salamanders had dissimilar microbiome structure for beta-diversity and abundance of 28 bacterial OTUs. We found that alpha-diversity increased with elevation, beta-diversity and the abundance of 17 bacterial OTUs changed with elevation (16 OTUs decreasing, 1 OTU increasing). We detected 11 putatively anti-Bd bacterial OTUs that were present on 90% of salamanders and made up an average relative abundance of 83% (SD ± 8.5) per salamander. All salamanders tested negative for Bd. We conclude that environment is more influential in shaping skin microbiome structure than host differences in these congeneric species, and suggest that environmental characteristics that covary with elevation influence microbiome structure. High prevalence and abundance of anti-Bd bacteria may contribute to low Bd levels in these populations of Plethodon salamanders.","container-title":"Journal of Animal Ecology","DOI":"10.1111/1365-2656.12726","ISSN":"1365-2656","issue":"2","language":"en","note":"_eprint: https://besjournals.onlinelibrary.wiley.com/doi/pdf/10.1111/1365-2656.12726","page":"341-353","source":"Wiley Online Library","title":"Effects of host species and environment on the skin microbiome of Plethodontid salamanders","volume":"87","author":[{"family":"Wolz","given":"Carly R. Muletz"},{"family":"Yarwood","given":"Stephanie A."},{"family":"Grant","given":"Evan H. Campbell"},{"family":"Fleischer","given":"Robert C."},{"family":"Lips","given":"Karen R."}],"issued":{"date-parts":[["2018"]]}}}],"schema":"https://github.com/citation-style-language/schema/raw/master/csl-citation.json"}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(Fitzpatrick &amp; Allison, 2014; Loudon et al., 2014; Wolz et al., 2018)</w:t>
      </w:r>
      <w:r w:rsidRPr="002579E0">
        <w:rPr>
          <w:rFonts w:ascii="Times New Roman" w:hAnsi="Times New Roman" w:cs="Times New Roman"/>
        </w:rPr>
        <w:fldChar w:fldCharType="end"/>
      </w:r>
      <w:r w:rsidRPr="002579E0">
        <w:rPr>
          <w:rFonts w:ascii="Times New Roman" w:hAnsi="Times New Roman" w:cs="Times New Roman"/>
        </w:rPr>
        <w:t xml:space="preserve">. That is, host-associated and free-living bacterial samples are composed of largely the same taxa, and host-associated assemblages likely result from continuous horizontal colonization onto the host from the environment. </w:t>
      </w:r>
      <w:r w:rsidRPr="002579E0">
        <w:rPr>
          <w:rFonts w:ascii="Times New Roman" w:hAnsi="Times New Roman" w:cs="Times New Roman"/>
          <w:color w:val="000000"/>
        </w:rPr>
        <w:t xml:space="preserve">Host-associated samples showed high heterogeneity among individual salamanders regardless of species and habitat utilization. We find only weak evidence of host species specificity, which is confounded by differences in host-species microhabitat. Convergence among hosts (across species and habitat) is suggested by the presence of a small number of indicator taxa, while </w:t>
      </w:r>
      <w:proofErr w:type="gramStart"/>
      <w:r w:rsidRPr="002579E0">
        <w:rPr>
          <w:rFonts w:ascii="Times New Roman" w:hAnsi="Times New Roman" w:cs="Times New Roman"/>
          <w:color w:val="000000"/>
        </w:rPr>
        <w:t>the majority of</w:t>
      </w:r>
      <w:proofErr w:type="gramEnd"/>
      <w:r w:rsidRPr="002579E0">
        <w:rPr>
          <w:rFonts w:ascii="Times New Roman" w:hAnsi="Times New Roman" w:cs="Times New Roman"/>
          <w:color w:val="000000"/>
        </w:rPr>
        <w:t xml:space="preserve"> the skin microbiome might reflect idiosyncrasies of stochastic colonization-extinction and priority effects.</w:t>
      </w:r>
    </w:p>
    <w:p w14:paraId="3BD981F3" w14:textId="1721EC84" w:rsidR="00882CCF" w:rsidRPr="002579E0" w:rsidRDefault="00882CCF" w:rsidP="00882CCF">
      <w:pPr>
        <w:spacing w:line="360" w:lineRule="auto"/>
        <w:ind w:firstLine="720"/>
        <w:rPr>
          <w:rFonts w:ascii="Times New Roman" w:hAnsi="Times New Roman" w:cs="Times New Roman"/>
        </w:rPr>
      </w:pPr>
      <w:r w:rsidRPr="002579E0">
        <w:rPr>
          <w:rFonts w:ascii="Times New Roman" w:hAnsi="Times New Roman" w:cs="Times New Roman"/>
        </w:rPr>
        <w:t xml:space="preserve">Host species and site were more effective in explaining variance than habitat (aquatic vs terrestrial) in our analyses evaluating salamander-associated communities. Site characteristics such as geological and geographical factors (climate, elevation, latitude, slope) shape reservoirs at a site that is reflected on salamander communities. Site alone consistently explained between 2-5% of variation in salamander analyses and salamanders show subtle evidence of site-specificity in turnover analyses. </w:t>
      </w:r>
      <w:r w:rsidRPr="002579E0">
        <w:rPr>
          <w:rFonts w:ascii="Times New Roman" w:hAnsi="Times New Roman" w:cs="Times New Roman"/>
        </w:rPr>
        <w:fldChar w:fldCharType="begin"/>
      </w:r>
      <w:r w:rsidRPr="002579E0">
        <w:rPr>
          <w:rFonts w:ascii="Times New Roman" w:hAnsi="Times New Roman" w:cs="Times New Roman"/>
        </w:rPr>
        <w:instrText xml:space="preserve"> ADDIN ZOTERO_ITEM CSL_CITATION {"citationID":"hiS0cdyJ","properties":{"formattedCitation":"(Hern\\uc0\\u225{}ndez-G\\uc0\\u243{}mez et al., 2017)","plainCitation":"(Hernández-Gómez et al., 2017)","dontUpdate":true,"noteIndex":0},"citationItems":[{"id":208,"uris":["http://zotero.org/users/6401767/items/YKT96ELJ"],"itemData":{"id":208,"type":"article-journal","abstract":"Multicellular hosts maintain complex associations with microbial communities. While microbial communities often serve important functional roles for their hosts, our understanding of the local and regional processes that structure these communities remains limited. Metacommunity analyses provide a promising tool for investigating mechanisms shaping microbiome heterogeneity, which is essential for predicting functional variation between hosts. Using a metacommunity framework, we examined heterogeneity in the skin microbiome of the eastern hellbender (Cryptobranchus alleganiensis alleganiensis). Hellbenders are broadly distributed throughout river systems in the eastern United States, but are present in specific environment locations throughout their range. The large range of the species and history of population fragmentation suggest that local and regional processes contribute to the distribution of cutaneous symbiont diversity. Therefore, we characterized the skin and environmental bacterial communities at eight rivers throughout the range of the species. We observed variation among hellbender populations in skin microbial community diversity and proportion of shared operational taxonomic units (OTUs) between animal and river water communities. Among populations sampled, we noted significant clumped OTU turnover (i.e., Clementsian structure) resulting in unique cutaneous communities. In addition, we observed a significant positive correlation between skin community divergence and hellbender population genetic divergence. Host-population skin community dissimilarity did not correlate strongly with distance between sampling locations, indicating a weak spatial effect on the distribution of symbionts. These results suggest that species sorting mechanisms (i.e., local processes) structure local skin microbial communities in hellbenders. The variation in skin community composition observed among host populations foreshadows a similar pattern in important functional characteristics (e.g, resistance to dysbiosis). Future work should focus on investigating forces shaping microbiome structure in eastern hellbenders, examining functional variation among populations, and evaluating effectiveness of microbiome management recommendations.","container-title":"Frontiers in Microbiology","DOI":"10.3389/fmicb.2017.01379","ISSN":"1664-302X","journalAbbreviation":"Front. Microbiol.","language":"English","note":"publisher: Frontiers","source":"Frontiers","title":"Cutaneous Microbial Community Variation across Populations of Eastern Hellbenders (Cryptobranchus alleganiensis alleganiensis)","URL":"https://www.frontiersin.org/articles/10.3389/fmicb.2017.01379/full","volume":"8","author":[{"family":"Hernández-Gómez","given":"Obed"},{"family":"Hoverman","given":"Jason T."},{"family":"Williams","given":"Rod N."}],"accessed":{"date-parts":[["2020",8,10]]},"issued":{"date-parts":[["2017"]]}}}],"schema":"https://github.com/citation-style-language/schema/raw/master/csl-citation.json"} </w:instrText>
      </w:r>
      <w:r w:rsidRPr="002579E0">
        <w:rPr>
          <w:rFonts w:ascii="Times New Roman" w:hAnsi="Times New Roman" w:cs="Times New Roman"/>
        </w:rPr>
        <w:fldChar w:fldCharType="separate"/>
      </w:r>
      <w:r w:rsidRPr="002579E0">
        <w:rPr>
          <w:rFonts w:ascii="Times New Roman" w:hAnsi="Times New Roman" w:cs="Times New Roman"/>
        </w:rPr>
        <w:t>Hernández-Gómez et al. (2017)</w:t>
      </w:r>
      <w:r w:rsidRPr="002579E0">
        <w:rPr>
          <w:rFonts w:ascii="Times New Roman" w:hAnsi="Times New Roman" w:cs="Times New Roman"/>
        </w:rPr>
        <w:fldChar w:fldCharType="end"/>
      </w:r>
      <w:r w:rsidRPr="002579E0">
        <w:rPr>
          <w:rFonts w:ascii="Times New Roman" w:hAnsi="Times New Roman" w:cs="Times New Roman"/>
        </w:rPr>
        <w:t xml:space="preserve"> found similar results with skin microflora of Eastern Hellbenders (</w:t>
      </w:r>
      <w:proofErr w:type="spellStart"/>
      <w:r w:rsidRPr="002579E0">
        <w:rPr>
          <w:rFonts w:ascii="Times New Roman" w:hAnsi="Times New Roman" w:cs="Times New Roman"/>
          <w:i/>
          <w:iCs/>
        </w:rPr>
        <w:t>Cryptobranchus</w:t>
      </w:r>
      <w:proofErr w:type="spellEnd"/>
      <w:r w:rsidRPr="002579E0">
        <w:rPr>
          <w:rFonts w:ascii="Times New Roman" w:hAnsi="Times New Roman" w:cs="Times New Roman"/>
          <w:i/>
          <w:iCs/>
        </w:rPr>
        <w:t xml:space="preserve"> </w:t>
      </w:r>
      <w:proofErr w:type="spellStart"/>
      <w:r w:rsidRPr="002579E0">
        <w:rPr>
          <w:rFonts w:ascii="Times New Roman" w:hAnsi="Times New Roman" w:cs="Times New Roman"/>
          <w:i/>
          <w:iCs/>
        </w:rPr>
        <w:t>alleganiensis</w:t>
      </w:r>
      <w:proofErr w:type="spellEnd"/>
      <w:r w:rsidRPr="002579E0">
        <w:rPr>
          <w:rFonts w:ascii="Times New Roman" w:hAnsi="Times New Roman" w:cs="Times New Roman"/>
          <w:i/>
          <w:iCs/>
        </w:rPr>
        <w:t xml:space="preserve"> </w:t>
      </w:r>
      <w:proofErr w:type="spellStart"/>
      <w:r w:rsidRPr="002579E0">
        <w:rPr>
          <w:rFonts w:ascii="Times New Roman" w:hAnsi="Times New Roman" w:cs="Times New Roman"/>
          <w:i/>
          <w:iCs/>
        </w:rPr>
        <w:t>alleganiensis</w:t>
      </w:r>
      <w:proofErr w:type="spellEnd"/>
      <w:r w:rsidRPr="002579E0">
        <w:rPr>
          <w:rFonts w:ascii="Times New Roman" w:hAnsi="Times New Roman" w:cs="Times New Roman"/>
        </w:rPr>
        <w:t xml:space="preserve">) across latitude and elevation. Local effects were also found in attempts to explain global variation among amphibian cutaneous microbiomes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{"citationID":"Ui1yW4fN","properties":{"formattedCitation":"(Kueneman et al., 2019)","plainCitation":"(Kueneman et al., 2019)","noteIndex":0},"citationItems":[{"id":456,"uris":["http://zotero.org/users/6401767/items/4JM2N6EW"],"itemData":{"id":456,"type":"article-journal","abstract":"Animal-associated microbiomes are integral to host health, yet key biotic and abiotic factors that shape host-associated microbial communities at the global scale remain poorly understood. We investigated global patterns in amphibian skin bacterial communities, incorporating samples from 2,349 individuals representing 205 amphibian species across a broad biogeographic range. We analysed how biotic and abiotic factors correlate with skin microbial communities using multiple statistical approaches. Global amphibian skin bacterial richness was consistently correlated with temperature-associated factors. We found more diverse skin microbiomes in environments with colder winters and less stable thermal conditions compared with environments with warm winters and less annual temperature variation. We used bioinformatically predicted bacterial growth rates, dormancy genes and antibiotic synthesis genes, as well as inferred bacterial thermal growth optima to propose mechanistic hypotheses that may explain the observed patterns. We conclude that temporal and spatial characteristics of the host’s macro-environment mediate microbial diversity.","container-title":"Nature Ecology &amp; Evolution","DOI":"10.1038/s41559-019-0798-1","ISSN":"2397-334X","issue":"3","language":"en","license":"2019 The Author(s), under exclusive licence to Springer Nature Limited","note":"number: 3\npublisher: Nature Publishing Group","page":"381-389","source":"www.nature.com","title":"Community richness of amphibian skin bacteria correlates with bioclimate at the global scale","volume":"3","author":[{"family":"Kueneman","given":"Jordan G."},{"family":"Bletz","given":"Molly C."},{"family":"McKenzie","given":"Valerie J."},{"family":"Becker","given":"C. Guilherme"},{"family":"Joseph","given":"Maxwell B."},{"family":"Abarca","given":"Juan G."},{"family":"Archer","given":"Holly"},{"family":"Arellano","given":"Ana Lisette"},{"family":"Bataille","given":"Arnaud"},{"family":"Becker","given":"Matthew"},{"family":"Belden","given":"Lisa K."},{"family":"Crottini","given":"Angelica"},{"family":"Geffers","given":"Robert"},{"family":"Haddad","given":"Célio F. B."},{"family":"Harris","given":"Reid N."},{"family":"Holden","given":"Whitney M."},{"family":"Hughey","given":"Myra"},{"family":"Jarek","given":"Michael"},{"family":"Kearns","given":"Patrick J."},{"family":"Kerby","given":"Jacob L."},{"family":"Kielgast","given":"Jos"},{"family":"Kurabayashi","given":"Atsushi"},{"family":"Longo","given":"Ana V."},{"family":"Loudon","given":"Andrew"},{"family":"Medina","given":"Daniel"},{"family":"Nuñez","given":"José J."},{"family":"Perl","given":"R. G. Bina"},{"family":"Pinto-Tomás","given":"Adrián"},{"family":"Rabemananjara","given":"Falitiana C. E."},{"family":"Rebollar","given":"Eria A."},{"family":"Rodríguez","given":"Ariel"},{"family":"Rollins-Smith","given":"Louise"},{"family":"Stevenson","given":"Robert"},{"family":"Tebbe","given":"Christoph C."},{"family":"Vargas Asensio","given":"Gabriel"},{"family":"Waldman","given":"Bruce"},{"family":"Walke","given":"Jenifer B."},{"family":"Whitfield","given":"Steven M."},{"family":"Zamudio","given":"Kelly R."},{"family":"Zúñiga Chaves","given":"Ibrahim"},{"family":"Woodhams","given":"Douglas C."},{"family":"Vences","given":"Miguel"}],"issued":{"date-parts":[["2019",3]]}}}],"schema":"https://github.com/citation-style-language/schema/raw/master/csl-citation.json"}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(Kueneman et al., 2019)</w:t>
      </w:r>
      <w:r w:rsidRPr="002579E0">
        <w:rPr>
          <w:rFonts w:ascii="Times New Roman" w:hAnsi="Times New Roman" w:cs="Times New Roman"/>
        </w:rPr>
        <w:fldChar w:fldCharType="end"/>
      </w:r>
      <w:r w:rsidRPr="002579E0">
        <w:rPr>
          <w:rFonts w:ascii="Times New Roman" w:hAnsi="Times New Roman" w:cs="Times New Roman"/>
        </w:rPr>
        <w:t xml:space="preserve">. However, for cover objects, habitat designation (aquatic or terrestrial) explained more inertia than site in each dissimilarity tested, meaning the difference between aquatic and terrestrial environments was more important than geographic differences between sites for both the detection of taxa and the composition of communities of cover objects (i.e., aquatic cover objects were more similar to an aquatic cover object at a different site than a terrestrial cover object at the same site). </w:t>
      </w:r>
    </w:p>
    <w:p w14:paraId="225B2ADC" w14:textId="7B9E9E6D" w:rsidR="00882CCF" w:rsidRPr="002579E0" w:rsidRDefault="00882CCF" w:rsidP="00882CCF">
      <w:pPr>
        <w:spacing w:line="360" w:lineRule="auto"/>
        <w:ind w:firstLine="720"/>
        <w:rPr>
          <w:rFonts w:ascii="Times New Roman" w:hAnsi="Times New Roman" w:cs="Times New Roman"/>
        </w:rPr>
      </w:pPr>
      <w:r w:rsidRPr="002579E0">
        <w:rPr>
          <w:rFonts w:ascii="Times New Roman" w:hAnsi="Times New Roman" w:cs="Times New Roman"/>
        </w:rPr>
        <w:t xml:space="preserve">Host species explained a significant proportion of variation in our dataset for salamanders only at binary and </w:t>
      </w:r>
      <w:r w:rsidRPr="002579E0">
        <w:rPr>
          <w:rFonts w:ascii="Times New Roman" w:hAnsi="Times New Roman" w:cs="Times New Roman"/>
          <w:i/>
          <w:iCs/>
        </w:rPr>
        <w:t xml:space="preserve">q=1 </w:t>
      </w:r>
      <w:r w:rsidRPr="002579E0">
        <w:rPr>
          <w:rFonts w:ascii="Times New Roman" w:hAnsi="Times New Roman" w:cs="Times New Roman"/>
        </w:rPr>
        <w:t xml:space="preserve">ecological </w:t>
      </w:r>
      <w:r w:rsidR="00D75A98">
        <w:rPr>
          <w:rFonts w:ascii="Times New Roman" w:hAnsi="Times New Roman" w:cs="Times New Roman"/>
        </w:rPr>
        <w:sym w:font="Symbol" w:char="F062"/>
      </w:r>
      <w:r w:rsidRPr="002579E0">
        <w:rPr>
          <w:rFonts w:ascii="Times New Roman" w:hAnsi="Times New Roman" w:cs="Times New Roman"/>
        </w:rPr>
        <w:t xml:space="preserve"> diversity metrics, but not phylogenetic or </w:t>
      </w:r>
      <w:proofErr w:type="spellStart"/>
      <w:r w:rsidRPr="002579E0">
        <w:rPr>
          <w:rFonts w:ascii="Times New Roman" w:hAnsi="Times New Roman" w:cs="Times New Roman"/>
        </w:rPr>
        <w:t>Morisita</w:t>
      </w:r>
      <w:proofErr w:type="spellEnd"/>
      <w:r w:rsidRPr="002579E0">
        <w:rPr>
          <w:rFonts w:ascii="Times New Roman" w:hAnsi="Times New Roman" w:cs="Times New Roman"/>
        </w:rPr>
        <w:t xml:space="preserve">-Horn dissimilarities. </w:t>
      </w:r>
      <w:proofErr w:type="spellStart"/>
      <w:r w:rsidRPr="002579E0">
        <w:rPr>
          <w:rFonts w:ascii="Times New Roman" w:hAnsi="Times New Roman" w:cs="Times New Roman"/>
        </w:rPr>
        <w:t>Phylosymbiosis</w:t>
      </w:r>
      <w:proofErr w:type="spellEnd"/>
      <w:r w:rsidRPr="002579E0">
        <w:rPr>
          <w:rFonts w:ascii="Times New Roman" w:hAnsi="Times New Roman" w:cs="Times New Roman"/>
        </w:rPr>
        <w:t xml:space="preserve">, the notion that more closely related hosts have more similar microbial communities, can arise through deterministic or stochastic processes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{"citationID":"XU9XzzTG","properties":{"formattedCitation":"(Kohl, 2020)","plainCitation":"(Kohl, 2020)","noteIndex":0},"citationItems":[{"id":139,"uris":["http://zotero.org/users/6401767/items/GEXA2DS2"],"itemData":{"id":139,"type":"article-journal","abstract":"Phylosymbiosis, where similarities in host-associated microbial communities recapitulate the phylogeny of their hosts, is a newly recognized yet pervasive pattern in the field of host–microbe interactions. While phylosymbiosis has been documented across many systems, we still have a poor understanding of the mechanisms that underlie this emergent pattern. Host selection of the microbiome is a widely cited mechanism, yet other basic ecological and evolutionary processes (dispersal, drift and diversification) may also be at play. This paper discusses the roles that each of these processes and their interactions may play in yielding phylosymbiotic signals across hosts. Finally, this paper will identify open questions and methods that are required to better understand the relative contributions of these basic processes to phylosymbiosis. Given that phylosymbiosis has been shown to relate to functional components of host fitness, understanding the processes that contribute to these patterns will be important for our understanding of the ecology and evolution of host–microbe interactions.\n            This article is part of the theme issue ‘Conceptual challenges in microbial community ecology’.","container-title":"Philosophical Transactions of the Royal Society B: Biological Sciences","DOI":"10.1098/rstb.2019.0251","ISSN":"0962-8436, 1471-2970","issue":"1798","journalAbbreviation":"Phil. Trans. R. Soc. B","language":"en","page":"20190251","source":"DOI.org (Crossref)","title":"Ecological and evolutionary mechanisms underlying patterns of phylosymbiosis in host-associated microbial communities","volume":"375","author":[{"family":"Kohl","given":"Kevin D."}],"issued":{"date-parts":[["2020",5,11]]}}}],"schema":"https://github.com/citation-style-language/schema/raw/master/csl-citation.json"}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(Kohl, 2020)</w:t>
      </w:r>
      <w:r w:rsidRPr="002579E0">
        <w:rPr>
          <w:rFonts w:ascii="Times New Roman" w:hAnsi="Times New Roman" w:cs="Times New Roman"/>
        </w:rPr>
        <w:fldChar w:fldCharType="end"/>
      </w:r>
      <w:r w:rsidRPr="002579E0">
        <w:rPr>
          <w:rFonts w:ascii="Times New Roman" w:hAnsi="Times New Roman" w:cs="Times New Roman"/>
        </w:rPr>
        <w:t xml:space="preserve">. Deterministic </w:t>
      </w:r>
      <w:proofErr w:type="spellStart"/>
      <w:r w:rsidRPr="002579E0">
        <w:rPr>
          <w:rFonts w:ascii="Times New Roman" w:hAnsi="Times New Roman" w:cs="Times New Roman"/>
        </w:rPr>
        <w:t>phylosymbiosis</w:t>
      </w:r>
      <w:proofErr w:type="spellEnd"/>
      <w:r w:rsidRPr="002579E0">
        <w:rPr>
          <w:rFonts w:ascii="Times New Roman" w:hAnsi="Times New Roman" w:cs="Times New Roman"/>
        </w:rPr>
        <w:t xml:space="preserve"> refers to the concordance of host phylogeny and community </w:t>
      </w:r>
      <w:r w:rsidRPr="002579E0">
        <w:rPr>
          <w:rFonts w:ascii="Times New Roman" w:hAnsi="Times New Roman" w:cs="Times New Roman"/>
        </w:rPr>
        <w:lastRenderedPageBreak/>
        <w:t xml:space="preserve">dissimilarity stemming from the direct mediation of host traits on community structure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{"citationID":"DTKyUvyi","properties":{"formattedCitation":"(Lim &amp; Bordenstein, 2020)","plainCitation":"(Lim &amp; Bordenstein, 2020)","noteIndex":0},"citationItems":[{"id":464,"uris":["http://zotero.org/users/6401767/items/AVGG84U9"],"itemData":{"id":464,"type":"article-journal","abstract":"Phylosymbiosis was recently formulated to support a hypothesis-driven framework for the characterization of a new, cross-system trend in host-associated microbiomes. Defining phylosymbiosis as ‘microbial community relationships that recapitulate the phylogeny of their host’, we review the relevant literature and data in the last decade, emphasizing frequently used methods and regular patterns observed in analyses. Quantitative support for phylosymbiosis is provided by statistical methods evaluating higher microbiome variation between host species than within host species, topological similarities between the host phylogeny and microbiome dendrogram, and a positive association between host genetic relationships and microbiome beta diversity. Significant degrees of phylosymbiosis are prevalent, but not universal, in microbiomes of plants and animals from terrestrial and aquatic habitats. Consistent with natural selection shaping phylosymbiosis, microbiome transplant experiments demonstrate reduced host performance and/or fitness upon host–microbiome mismatches. Hybridization can also disrupt phylosymbiotic microbiomes and cause hybrid pathologies. The pervasiveness of phylosymbiosis carries several important implications for advancing knowledge of eco-evolutionary processes that impact host–microbiome interactions and future applications of precision microbiology. Important future steps will be to examine phylosymbiosis beyond bacterial communities, apply evolutionary modelling for an increasingly sophisticated understanding of phylosymbiosis, and unravel the host and microbial mechanisms that contribute to the pattern. This review serves as a gateway to experimental, conceptual and quantitative themes of phylosymbiosis and outlines opportunities ripe for investigation from a diversity of disciplines.","container-title":"Proceedings of the Royal Society B: Biological Sciences","DOI":"10.1098/rspb.2019.2900","issue":"1922","journalAbbreviation":"Proceedings of the Royal Society B: Biological Sciences","note":"publisher: Royal Society","page":"20192900","source":"royalsocietypublishing.org (Atypon)","title":"An introduction to phylosymbiosis","volume":"287","author":[{"family":"Lim","given":"Shen Jean"},{"family":"Bordenstein","given":"Seth R."}],"issued":{"date-parts":[["2020",3,11]]}}}],"schema":"https://github.com/citation-style-language/schema/raw/master/csl-citation.json"}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(Lim &amp; Bordenstein, 2020)</w:t>
      </w:r>
      <w:r w:rsidRPr="002579E0">
        <w:rPr>
          <w:rFonts w:ascii="Times New Roman" w:hAnsi="Times New Roman" w:cs="Times New Roman"/>
        </w:rPr>
        <w:fldChar w:fldCharType="end"/>
      </w:r>
      <w:r w:rsidRPr="002579E0">
        <w:rPr>
          <w:rFonts w:ascii="Times New Roman" w:hAnsi="Times New Roman" w:cs="Times New Roman"/>
        </w:rPr>
        <w:t xml:space="preserve">. Stochastic </w:t>
      </w:r>
      <w:proofErr w:type="spellStart"/>
      <w:r w:rsidRPr="002579E0">
        <w:rPr>
          <w:rFonts w:ascii="Times New Roman" w:hAnsi="Times New Roman" w:cs="Times New Roman"/>
        </w:rPr>
        <w:t>phylosymbiosis</w:t>
      </w:r>
      <w:proofErr w:type="spellEnd"/>
      <w:r w:rsidRPr="002579E0">
        <w:rPr>
          <w:rFonts w:ascii="Times New Roman" w:hAnsi="Times New Roman" w:cs="Times New Roman"/>
        </w:rPr>
        <w:t xml:space="preserve"> occurs when concordance exists as a byproduct rather than direct mediation from host traits. For example, closely related hosts occupying similar habitats could show strong resemblance because of exposure to similar microbial reservoirs and not selection of microbes due to host traits. While we lack adequate statistical power to test this hypothesis, our results suggest host species lack sufficient differentiation to support deterministic structuring at the community level, and only slight evidence in terms of ASV sequence specificity, which could be an artifact of sampling. In other words, the significant statistical pattern of species-specificity does not necessarily imply strong intrinsic differences between host species especially since cover objects associated with different species show similar trends. This suggests differences in microhabitats could drive differences between hosts and perhaps blur aspects of host-species specificity. Either way, these differences were subtle relative to the overall pattern of heterogeneity among individual salamanders in comparison to environmental samples from aquatic and terrestrial habitats, meaning salamander skin does not exert a coherent selection pressure at the community level. </w:t>
      </w:r>
    </w:p>
    <w:p w14:paraId="1E87FCC3" w14:textId="3C032AD1" w:rsidR="00882CCF" w:rsidRPr="002579E0" w:rsidRDefault="00882CCF" w:rsidP="00882CCF">
      <w:pPr>
        <w:spacing w:line="360" w:lineRule="auto"/>
        <w:ind w:firstLine="720"/>
        <w:rPr>
          <w:rFonts w:ascii="Times New Roman" w:hAnsi="Times New Roman" w:cs="Times New Roman"/>
        </w:rPr>
      </w:pPr>
      <w:r w:rsidRPr="002579E0">
        <w:rPr>
          <w:rFonts w:ascii="Times New Roman" w:hAnsi="Times New Roman" w:cs="Times New Roman"/>
        </w:rPr>
        <w:t xml:space="preserve">Significant differences between salamander-associated assemblages and assemblages living on their own cover objects could be evidence that salamander skin is an alternative niche for certain microbes, or that salamander skin is simply better at inhibiting the growth of some microbes more than others. The skin of salamanders is an important organ for host physiological homeostasis. Histological studies in </w:t>
      </w:r>
      <w:proofErr w:type="spellStart"/>
      <w:r w:rsidRPr="002579E0">
        <w:rPr>
          <w:rFonts w:ascii="Times New Roman" w:hAnsi="Times New Roman" w:cs="Times New Roman"/>
          <w:i/>
          <w:iCs/>
        </w:rPr>
        <w:t>Desmognathus</w:t>
      </w:r>
      <w:proofErr w:type="spellEnd"/>
      <w:r w:rsidRPr="002579E0">
        <w:rPr>
          <w:rFonts w:ascii="Times New Roman" w:hAnsi="Times New Roman" w:cs="Times New Roman"/>
        </w:rPr>
        <w:t xml:space="preserve">, </w:t>
      </w:r>
      <w:proofErr w:type="spellStart"/>
      <w:r w:rsidRPr="002579E0">
        <w:rPr>
          <w:rFonts w:ascii="Times New Roman" w:hAnsi="Times New Roman" w:cs="Times New Roman"/>
          <w:i/>
          <w:iCs/>
        </w:rPr>
        <w:t>Plethodon</w:t>
      </w:r>
      <w:proofErr w:type="spellEnd"/>
      <w:r w:rsidRPr="002579E0">
        <w:rPr>
          <w:rFonts w:ascii="Times New Roman" w:hAnsi="Times New Roman" w:cs="Times New Roman"/>
        </w:rPr>
        <w:t xml:space="preserve">, and </w:t>
      </w:r>
      <w:r w:rsidRPr="002579E0">
        <w:rPr>
          <w:rFonts w:ascii="Times New Roman" w:hAnsi="Times New Roman" w:cs="Times New Roman"/>
          <w:i/>
          <w:iCs/>
        </w:rPr>
        <w:t>Eurycea</w:t>
      </w:r>
      <w:r w:rsidRPr="002579E0">
        <w:rPr>
          <w:rFonts w:ascii="Times New Roman" w:hAnsi="Times New Roman" w:cs="Times New Roman"/>
        </w:rPr>
        <w:t xml:space="preserve">, confirm the presence of mucosal and granular glands embedded within the dermal layer of the integument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{"citationID":"3up8NGFI","properties":{"formattedCitation":"(Rupp &amp; Sever, 2018; Sever &amp; Siegel, 2015)","plainCitation":"(Rupp &amp; Sever, 2018; Sever &amp; Siegel, 2015)","noteIndex":0},"citationItems":[{"id":204,"uris":["http://zotero.org/users/6401767/items/NLA25UP9"],"itemData":{"id":204,"type":"article-journal","abstract":"Salamanders in the family Plethodontidae exhibit a unique tail-straddle walk during courtship that can include the use of sexually dimorphic mental and caudal courtship glands. This study presents novel histological and fine structure data on mental glands and caudal courtship glands in Plethodon mississippi, Desmognathus conanti and Eurycea quadridigitata using both light microscopy and scanning electron microscopy. This study represents the first use of scanning electron microscopy to observe these glands. Both mental and caudal courtship glands were observed to vary seasonally in gland diameter and histology according to the breeding season of each species. Morphological variation was observed across the three species studied in both clustering and relative size of the glands compared to neighbouring mucous and granular glands. Hypertrophied mental glands are larger than mucous or granular glands in all species, but relationships among caudal courtship glands and other skin glands vary among species. In E. quadridigitata, active caudal courtship glands are larger than mucous and granular glands, but in D. conanti, caudal courtship glands are similar in size to granular glands and larger than mucous glands. In P. mississippi, caudal courtship glands are scattered among significantly larger granular glands and are similar in size to mucous glands.","container-title":"Acta Zoologica","DOI":"10.1111/azo.12188","ISSN":"1463-6395","issue":"1","language":"en","license":"© 2017 The Royal Swedish Academy of Sciences","note":"_eprint: https://onlinelibrary.wiley.com/doi/pdf/10.1111/azo.12188","page":"20-31","source":"Wiley Online Library","title":"Histology of mental and caudal courtship glands in three genera of plethodontid salamanders (Amphibia: Plethodontidae)","title-short":"Histology of mental and caudal courtship glands in three genera of plethodontid salamanders (Amphibia","volume":"99","author":[{"family":"Rupp","given":"Ariana E."},{"family":"Sever","given":"David M."}],"issued":{"date-parts":[["2018"]]}}},{"id":205,"uris":["http://zotero.org/users/6401767/items/TR7Y6ESX"],"itemData":{"id":205,"type":"article-journal","abstract":"Caudal courtship glands (CCGs) are sexually dimorphic glands described in the skin of the dorsal tail base of some male salamanders in the genera Desmognathus, Eurycea, and Plethodon in the family Plethodontidae. These glands are believed to deliver pheromones to females during courtship, when the female rests her chin on the dorsal tail base during the stereotypic tail straddling walk unique to plethodontids. Although CCGs have been studied histologically, no investigations of their ultrastructure have been made. This article presents the first study on the fine structure and seasonal variation of CCGs, using the plethodontid Plethodon cinereus. The CCGs vary seasonally in height and secretory activity. The mature secretory granules observed in males collected in October and April consist of oval, biphasic granules that are eosinophilic and give positive reactions to periodic acid-Schiff for neutral carbohydrates but do not stain for acidic mucosusbtances or proteins with alcian blue and bromphenol blue, respectively. Granular glands, some of which contain mucous demilunes, are twice as large as CCGs, are syncytial (unlike CCGs), and stain for proteins. Mucous glands are similar in size to CCGs, but are basophilic, show no seasonal variation in secretory activity, and stain positive for acidic mucosubstances. CCGs do not resemble cytologically the sexually dimorphic mental glands of some plethodontids, which contain round or oval granules filled with an electron-dense amorphous substance. The CCGs are similar histologically to sexually dimorphic skin glands described in some anurans, but more comparative work is needed. J. Morphol. 276:319–330, 2015. © 2014 Wiley Periodicals, Inc.","container-title":"Journal of Morphology","DOI":"10.1002/jmor.20342","ISSN":"1097-4687","issue":"3","language":"en","license":"© 2014 Wiley Periodicals, Inc.","note":"_eprint: https://onlinelibrary.wiley.com/doi/pdf/10.1002/jmor.20342","page":"319-330","source":"Wiley Online Library","title":"Histology and ultrastructure of the caudal courtship glands of the red-backed salamander, Plethodon cinereus (Amphibia: Plethodontidae)","title-short":"Histology and ultrastructure of the caudal courtship glands of the red-backed salamander, Plethodon cinereus (Amphibia","volume":"276","author":[{"family":"Sever","given":"David M."},{"family":"Siegel","given":"Dustin S."}],"issued":{"date-parts":[["2015"]]}}}],"schema":"https://github.com/citation-style-language/schema/raw/master/csl-citation.json"}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(Rupp &amp; Sever, 2018; Sever &amp; Siegel, 2015)</w:t>
      </w:r>
      <w:r w:rsidRPr="002579E0">
        <w:rPr>
          <w:rFonts w:ascii="Times New Roman" w:hAnsi="Times New Roman" w:cs="Times New Roman"/>
        </w:rPr>
        <w:fldChar w:fldCharType="end"/>
      </w:r>
      <w:r w:rsidRPr="002579E0">
        <w:rPr>
          <w:rFonts w:ascii="Times New Roman" w:hAnsi="Times New Roman" w:cs="Times New Roman"/>
        </w:rPr>
        <w:t xml:space="preserve">. Uniformly distributed mucus glands maintain physiological homeostasis through secretions of glycoproteins and mucopolysaccharides, which likely act as a nutrient source for host-associated microbes and pathogens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{"citationID":"JEVETZEF","properties":{"formattedCitation":"(Austin, 2000; Elkan, 1968; Garbe &amp; Collin, 2012)","plainCitation":"(Austin, 2000; Elkan, 1968; Garbe &amp; Collin, 2012)","noteIndex":0},"citationItems":[{"id":327,"uris":["http://zotero.org/users/6401767/items/V6JM2QQF"],"itemData":{"id":327,"type":"article-journal","container-title":"The Biology of Plethodontid Salamanders","page":"451-461","title":"Cutaneous microbial flora and antibiosis in Plethodon ventralis","author":[{"family":"Austin","given":"Richard"}],"issued":{"date-parts":[["2000"]]}}},{"id":202,"uris":["http://zotero.org/users/6401767/items/ST4SUU46"],"itemData":{"id":202,"type":"article-journal","abstract":"In addition to those usually mentioned in textbooks on comparative anatomy, the anuran skin contains, in many species, a layer situated between the stratum compactum and the stratum spongiosum which is acellular and which has a selective tinctorial affinity for Alizarine, haematoxylin, Alcian Blue and ionized iron. The indications are that this layer consists of acid mucopolysaccharides and calcium. This layer is most prominently developed in the more differentiated anuran families. It is almost entirely absent in the aquatic species but predominantly present in the terrestrial forms. Presumably this layer plays an important part in the defence mechanism of the Anura against desiccation.","container-title":"Journal of Zoology","DOI":"10.1111/j.1469-7998.1968.tb03028.x","ISSN":"1469-7998","issue":"1","language":"en","note":"_eprint: https://zslpublications.onlinelibrary.wiley.com/doi/pdf/10.1111/j.1469-7998.1968.tb03028.x","page":"19-53","source":"Wiley Online Library","title":"Mucopolysaccharides in the anuran defence against desiccation","volume":"155","author":[{"family":"Elkan","given":"E."}],"issued":{"date-parts":[["1968"]]}}},{"id":472,"uris":["http://zotero.org/users/6401767/items/CI5J8V4R"],"itemData":{"id":472,"type":"article-journal","abstract":"Glycoproteins are ubiquitous in nature and fundamental to most biological processes, including the human immune system. The glycoprotein carbohydrate moieties, or glycans, are very diverse in their structure and composition, and have major effects on the chemical, physical and biological properties of these glycoproteins. The hydrolysis of glycoprotein glycans by bacterial glycosidases can have dramatic effects on glycoprotein function and, thereby, be beneficial for the bacteria in different ways. This review gives an introduction to the expanding field of extracellular glycosidases from bacterial pathogens with activity on host glycoproteins, describes some known and proposed consequences for the host and the bacteria and discusses some evolutionary and regulatory aspects of bacterial glycosidases.","container-title":"Journal of Innate Immunity","DOI":"10.1159/000334775","ISSN":"1662-8128","issue":"2","journalAbbreviation":"J Innate Immun","language":"eng","note":"PMID: 22222876\nPMCID: PMC6741532","page":"121-131","source":"PubMed","title":"Bacterial hydrolysis of host glycoproteins - powerful protein modification and efficient nutrient acquisition","volume":"4","author":[{"family":"Garbe","given":"Julia"},{"family":"Collin","given":"Mattias"}],"issued":{"date-parts":[["2012"]]}}}],"schema":"https://github.com/citation-style-language/schema/raw/master/csl-citation.json"}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(Austin, 2000; Elkan, 1968; Garbe &amp; Collin, 2012)</w:t>
      </w:r>
      <w:r w:rsidRPr="002579E0">
        <w:rPr>
          <w:rFonts w:ascii="Times New Roman" w:hAnsi="Times New Roman" w:cs="Times New Roman"/>
        </w:rPr>
        <w:fldChar w:fldCharType="end"/>
      </w:r>
      <w:r w:rsidRPr="002579E0">
        <w:rPr>
          <w:rFonts w:ascii="Times New Roman" w:hAnsi="Times New Roman" w:cs="Times New Roman"/>
        </w:rPr>
        <w:t xml:space="preserve">. More notably, amphibian skin also possesses more sparsely distributed granular glands, which are responsible for a cocktail of neuroactive and cytolytic peptides. Some of these bioactive peptides are capable of inhibiting Bd and </w:t>
      </w:r>
      <w:proofErr w:type="spellStart"/>
      <w:r w:rsidRPr="002579E0">
        <w:rPr>
          <w:rFonts w:ascii="Times New Roman" w:hAnsi="Times New Roman" w:cs="Times New Roman"/>
        </w:rPr>
        <w:t>Bsal</w:t>
      </w:r>
      <w:proofErr w:type="spellEnd"/>
      <w:r w:rsidRPr="002579E0">
        <w:rPr>
          <w:rFonts w:ascii="Times New Roman" w:hAnsi="Times New Roman" w:cs="Times New Roman"/>
        </w:rPr>
        <w:t xml:space="preserve"> but can also facilitate the growth of resident microbes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{"citationID":"r6o1OeWY","properties":{"formattedCitation":"(Flechas et al., 2019)","plainCitation":"(Flechas et al., 2019)","noteIndex":0},"citationItems":[{"id":200,"uris":["http://zotero.org/users/6401767/items/5R2VQDVA"],"itemData":{"id":200,"type":"article-journal","abstract":"Management of hyper-virulent generalist pathogens is an emergent global challenge, yet for most disease systems we lack a basic understanding as to why some host species suffer mass mortalities, while others resist epizootics. We studied two sympatric species of frogs from the Colombian Andes, which coexist with the amphibian pathogen Batrachochytrium dendrobatidis (Bd), to understand why some species did not succumb to the infection. We found high Bd prevalence in juveniles for both species, yet infection intensities remained low. We also found that bacterial community composition and host defense peptides are speciﬁc to amphibian life stages. We detected abundant Bd-inhibitory skin bacteria across life stages and Bd-inhibitory defense peptides post-metamorphosis in both species. Bd-inhibitory bacteria were proportionally more abundant in adults of both species than in earlier developmental stages. We tested for activity of peptides against the skin microbiota and found that in general peptides did not negatively affect bacterial growth and in some instances facilitated growth. Our results suggest that symbiotic bacteria and antimicrobial peptides may be co-selected for, and that together they contribute to the ability of Andean amphibian species to coexist with the global pandemic lineage of Bd.","container-title":"The ISME Journal","DOI":"10.1038/s41396-018-0284-9","ISSN":"1751-7362, 1751-7370","issue":"2","journalAbbreviation":"ISME J","language":"en","page":"361-373","source":"DOI.org (Crossref)","title":"Microbiota and skin defense peptides may facilitate coexistence of two sympatric Andean frog species with a lethal pathogen","volume":"13","author":[{"family":"Flechas","given":"Sandra V."},{"family":"Acosta-González","given":"Alejandro"},{"family":"Escobar","given":"Laura A."},{"family":"Kueneman","given":"Jordan G."},{"family":"Sánchez-Quitian","given":"Zilpa Adriana"},{"family":"Parra-Giraldo","given":"Claudia M."},{"family":"Rollins-Smith","given":"Louise A."},{"family":"Reinert","given":"Laura K."},{"family":"Vredenburg","given":"Vance T."},{"family":"Amézquita","given":"Adolfo"},{"family":"Woodhams","given":"Douglas C."}],"issued":{"date-parts":[["2019",2]]}}}],"schema":"https://github.com/citation-style-language/schema/raw/master/csl-citation.json"}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(Flechas et al., 2019)</w:t>
      </w:r>
      <w:r w:rsidRPr="002579E0">
        <w:rPr>
          <w:rFonts w:ascii="Times New Roman" w:hAnsi="Times New Roman" w:cs="Times New Roman"/>
        </w:rPr>
        <w:fldChar w:fldCharType="end"/>
      </w:r>
      <w:r w:rsidRPr="002579E0">
        <w:rPr>
          <w:rFonts w:ascii="Times New Roman" w:hAnsi="Times New Roman" w:cs="Times New Roman"/>
        </w:rPr>
        <w:t>. Thus, the amphibian skin might facilitate colonization or growth of "desirable" microbes, leading to dissimilarity between host-</w:t>
      </w:r>
      <w:r w:rsidRPr="002579E0">
        <w:rPr>
          <w:rFonts w:ascii="Times New Roman" w:hAnsi="Times New Roman" w:cs="Times New Roman"/>
        </w:rPr>
        <w:lastRenderedPageBreak/>
        <w:t>associated and free-living microbial assemblages. Such dissimilarity might also result from differential inhibition colonization or growth (these possibilities are not mutually exclusive).</w:t>
      </w:r>
    </w:p>
    <w:p w14:paraId="61F87937" w14:textId="15E15CC5" w:rsidR="00882CCF" w:rsidRPr="002579E0" w:rsidRDefault="00882CCF" w:rsidP="00882CCF">
      <w:pPr>
        <w:spacing w:line="360" w:lineRule="auto"/>
        <w:ind w:firstLine="720"/>
        <w:rPr>
          <w:rFonts w:ascii="Times New Roman" w:hAnsi="Times New Roman" w:cs="Times New Roman"/>
        </w:rPr>
      </w:pPr>
      <w:r w:rsidRPr="002579E0">
        <w:rPr>
          <w:rFonts w:ascii="Times New Roman" w:hAnsi="Times New Roman" w:cs="Times New Roman"/>
        </w:rPr>
        <w:t xml:space="preserve">Beyond the skin, differences between salamanders and their environment could be attributed to ecological processes such as diversity-area relationships and priority effects. The significant difference in alpha diversity could drive differences in beta diversity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{"citationID":"1q2rvWFZ","properties":{"formattedCitation":"(Chase et al., 2011)","plainCitation":"(Chase et al., 2011)","noteIndex":0},"citationItems":[{"id":518,"uris":["http://zotero.org/users/6401767/items/WZPS7QW4"],"itemData":{"id":518,"type":"article-journal","abstract":"β-diversity represents the compositional variation among communities from site-to-site, linking local (α-diversity) and regional (γ-diversity). Researchers often desire to compare values of β-diversity across localities or experimental treatments, and to use this comparison to infer possible mechanisms of community assembly. However, the majority of metrics used to estimate β-diversity, including most dissimilarity metrics (e.g., Jaccard's and Sørenson's dissimilarity index), can vary simply because of changes in the other two diversity components (α or γ-diversity). Here, we overview the utility of taking a null model approach that allows one to discern whether variation in the measured dissimilarity among communities results more from changes in the underlying structure by which communities vary, or instead simply due to difference in α-diversity among localities or experimental treatments. We illustrate one particular approach, originally developed by Raup and Crick (1979) in the paleontological literature, which creates a re-scaled probability metric ranging from −1 to 1, indicating whether local communities are more dissimilar (approaching 1), as dissimilar (approaching 0), or less dissimilar (approaching −1), than expected by random chance. The value of this metric provides some indication of the possible underlying mechanisms of community assembly, in particular the degree to which deterministic processes create communities that deviate from those based on stochastic (null) expectations. We demonstrate the utility of this metric when compared to analyses of Jaccard's dissimilarity index with case studies from disparate empirical systems (coral reefs and freshwater ponds) that differ in the degree to which disturbance altered α-diversity, as well as the selectivity by which disturbance acted on members of the community.","container-title":"Ecosphere","DOI":"https://doi.org/10.1890/ES10-00117.1","ISSN":"2150-8925","issue":"2","language":"en","note":"_eprint: https://esajournals.onlinelibrary.wiley.com/doi/pdf/10.1890/ES10-00117.1","page":"art24","source":"Wiley Online Library","title":"Using null models to disentangle variation in community dissimilarity from variation in α-diversity","volume":"2","author":[{"family":"Chase","given":"Jonathan M."},{"family":"Kraft","given":"Nathan J. B."},{"family":"Smith","given":"Kevin G."},{"family":"Vellend","given":"Mark"},{"family":"Inouye","given":"Brian D."}],"issued":{"date-parts":[["2011"]]}}}],"schema":"https://github.com/citation-style-language/schema/raw/master/csl-citation.json"}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(Chase et al., 2011)</w:t>
      </w:r>
      <w:r w:rsidRPr="002579E0">
        <w:rPr>
          <w:rFonts w:ascii="Times New Roman" w:hAnsi="Times New Roman" w:cs="Times New Roman"/>
        </w:rPr>
        <w:fldChar w:fldCharType="end"/>
      </w:r>
      <w:r w:rsidRPr="002579E0">
        <w:rPr>
          <w:rFonts w:ascii="Times New Roman" w:hAnsi="Times New Roman" w:cs="Times New Roman"/>
        </w:rPr>
        <w:t xml:space="preserve">. </w:t>
      </w:r>
      <w:proofErr w:type="gramStart"/>
      <w:r w:rsidRPr="002579E0">
        <w:rPr>
          <w:rFonts w:ascii="Times New Roman" w:hAnsi="Times New Roman" w:cs="Times New Roman"/>
        </w:rPr>
        <w:t>In particular, if</w:t>
      </w:r>
      <w:proofErr w:type="gramEnd"/>
      <w:r w:rsidRPr="002579E0">
        <w:rPr>
          <w:rFonts w:ascii="Times New Roman" w:hAnsi="Times New Roman" w:cs="Times New Roman"/>
        </w:rPr>
        <w:t xml:space="preserve"> salamanders were all colonized by all species in the environmental pool, then independent random extinctions would make their assemblages more different from each other, while non-random extinctions would make them more similar to each other. The high observed turnover rates between individual salamander samples, despite clustering in ordinations, indicate that random extinction and/or priority effects could be important in amphibian-associated communities. For example, </w:t>
      </w:r>
      <w:r w:rsidRPr="004D2321">
        <w:rPr>
          <w:rFonts w:ascii="Times New Roman" w:hAnsi="Times New Roman" w:cs="Times New Roman"/>
        </w:rPr>
        <w:fldChar w:fldCharType="begin"/>
      </w:r>
      <w:r w:rsidRPr="004D2321">
        <w:rPr>
          <w:rFonts w:ascii="Times New Roman" w:hAnsi="Times New Roman" w:cs="Times New Roman"/>
        </w:rPr>
        <w:instrText xml:space="preserve"> ADDIN ZOTERO_ITEM CSL_CITATION {"citationID":"LaOGgJzZ","properties":{"formattedCitation":"(Toju et al., 2018)","plainCitation":"(Toju et al., 2018)","dontUpdate":true,"noteIndex":0},"citationItems":[{"id":199,"uris":["http://zotero.org/users/6401767/items/Y7J3985W"],"itemData":{"id":199,"type":"article-journal","abstract":"The order of species arrival can influence how species interact with one another and, consequently, which species may coexist in local communities. This phenomenon, called priority effects, has been observed in various types of communities, but it remains unclear whether priority effects persist over the long term spanning multiple generations of local communities in metacommunities. Focusing on bacteria and yeasts that colonize floral nectar of the sticky monkey flower, Mimulus aurantiacus, via hummingbirds and other flower-visiting animals, we experimentally manipulated initial microbial dominance on plants (regarded as metacommunities) to examine whether its effects persisted across multiple generations of flowers (regarded as local microbial habitats). The experimental introduction of Neokomagataea (= Gluconobacter) bacteria and Metschnikowia yeasts into wild flowers showed that the effects of initial dominance were observable across multiple floral generations. Three weeks after introduction, corresponding approximately to three floral generations, Neokomagataea introduction led to exclusion of yeasts, whereas Metschnikowia introduction did not result in the exclusion of Neokomagataea. Our results suggest that, even when local habitats are ephemeral, priority effects may influence multiple generations of local communities within metacommunities.","container-title":"Oikos","DOI":"10.1111/oik.04243","ISSN":"1600-0706","issue":"3","language":"en","note":"_eprint: https://onlinelibrary.wiley.com/doi/pdf/10.1111/oik.04243","page":"345-352","source":"Wiley Online Library","title":"Priority effects can persist across floral generations in nectar microbial metacommunities","volume":"127","author":[{"family":"Toju","given":"Hirokazu"},{"family":"Vannette","given":"Rachel L."},{"family":"Gauthier","given":"Marie-Pierre L."},{"family":"Dhami","given":"Manpreet K."},{"family":"Fukami","given":"Tadashi"}],"issued":{"date-parts":[["2018"]]}}}],"schema":"https://github.com/citation-style-language/schema/raw/master/csl-citation.json"} </w:instrText>
      </w:r>
      <w:r w:rsidRPr="004D2321">
        <w:rPr>
          <w:rFonts w:ascii="Times New Roman" w:hAnsi="Times New Roman" w:cs="Times New Roman"/>
        </w:rPr>
        <w:fldChar w:fldCharType="separate"/>
      </w:r>
      <w:r w:rsidRPr="004D2321">
        <w:rPr>
          <w:rFonts w:ascii="Times New Roman" w:hAnsi="Times New Roman" w:cs="Times New Roman"/>
          <w:noProof/>
        </w:rPr>
        <w:t>Toju et al. (2018)</w:t>
      </w:r>
      <w:r w:rsidRPr="004D2321">
        <w:rPr>
          <w:rFonts w:ascii="Times New Roman" w:hAnsi="Times New Roman" w:cs="Times New Roman"/>
        </w:rPr>
        <w:fldChar w:fldCharType="end"/>
      </w:r>
      <w:r w:rsidRPr="002579E0">
        <w:rPr>
          <w:rFonts w:ascii="Times New Roman" w:hAnsi="Times New Roman" w:cs="Times New Roman"/>
        </w:rPr>
        <w:t xml:space="preserve"> found priority effects to have lasting impacts on community composition in plants and </w:t>
      </w:r>
      <w:r w:rsidRPr="004D2321">
        <w:rPr>
          <w:rFonts w:ascii="Times New Roman" w:hAnsi="Times New Roman" w:cs="Times New Roman"/>
        </w:rPr>
        <w:fldChar w:fldCharType="begin"/>
      </w:r>
      <w:r w:rsidRPr="004D2321">
        <w:rPr>
          <w:rFonts w:ascii="Times New Roman" w:hAnsi="Times New Roman" w:cs="Times New Roman"/>
        </w:rPr>
        <w:instrText xml:space="preserve"> ADDIN ZOTERO_ITEM CSL_CITATION {"citationID":"vRuIq8Hy","properties":{"formattedCitation":"(Sprockett et al., 2018)","plainCitation":"(Sprockett et al., 2018)","dontUpdate":true,"noteIndex":0},"citationItems":[{"id":471,"uris":["http://zotero.org/users/6401767/items/9NGH2V4P"],"itemData":{"id":471,"type":"article-journal","abstract":"Understanding how microbial communities develop is essential for predicting and directing their future states. Ecological theory suggests that community development is often influenced by priority effects, in which the order and timing of species arrival determine how species affect one another. Priority effects can have long-lasting consequences, particularly if species arrival history varies during the early stage of community development, but their importance to the human gut microbiota and host health remains largely unknown. Here, we explore how priority effects might influence microbial communities in the gastrointestinal tract during early childhood and how the strength of priority effects can be estimated from the composition of the microbial species pool. We also discuss factors that alter microbial transmission, such as delivery mode, diet and parenting behaviours such as breastfeeding, which can influence the likelihood of priority effects. An improved knowledge of priority effects has the potential to inform microorganism-based therapies, such as prebiotics and probiotics, which are aimed at guiding the microbiota towards a healthy state.","container-title":"Nature Reviews. Gastroenterology &amp; Hepatology","DOI":"10.1038/nrgastro.2017.173","ISSN":"1759-5053","issue":"4","journalAbbreviation":"Nat Rev Gastroenterol Hepatol","language":"eng","note":"PMID: 29362469\nPMCID: PMC6813786","page":"197-205","source":"PubMed","title":"Role of priority effects in the early-life assembly of the gut microbiota","volume":"15","author":[{"family":"Sprockett","given":"Daniel"},{"family":"Fukami","given":"Tadashi"},{"family":"Relman","given":"David A."}],"issued":{"date-parts":[["2018",4]]}}}],"schema":"https://github.com/citation-style-language/schema/raw/master/csl-citation.json"} </w:instrText>
      </w:r>
      <w:r w:rsidRPr="004D2321">
        <w:rPr>
          <w:rFonts w:ascii="Times New Roman" w:hAnsi="Times New Roman" w:cs="Times New Roman"/>
        </w:rPr>
        <w:fldChar w:fldCharType="separate"/>
      </w:r>
      <w:r w:rsidRPr="004D2321">
        <w:rPr>
          <w:rFonts w:ascii="Times New Roman" w:hAnsi="Times New Roman" w:cs="Times New Roman"/>
          <w:noProof/>
        </w:rPr>
        <w:t>Sprockett et al. (2018)</w:t>
      </w:r>
      <w:r w:rsidRPr="004D2321">
        <w:rPr>
          <w:rFonts w:ascii="Times New Roman" w:hAnsi="Times New Roman" w:cs="Times New Roman"/>
        </w:rPr>
        <w:fldChar w:fldCharType="end"/>
      </w:r>
      <w:r w:rsidRPr="002579E0">
        <w:rPr>
          <w:rFonts w:ascii="Times New Roman" w:hAnsi="Times New Roman" w:cs="Times New Roman"/>
        </w:rPr>
        <w:t xml:space="preserve"> identified priority effects to be key in the establishment of gut microbiome communities. In this sense, metabolic activities of members already residing on the host engage in cooperation, competition, and niche partitioning, and thus can facilitate or prohibit the colonization of new taxa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{"citationID":"sOiE6Dfv","properties":{"formattedCitation":"(Burke et al., 2011; Coyte &amp; Rakoff-Nahoum, 2019)","plainCitation":"(Burke et al., 2011; Coyte &amp; Rakoff-Nahoum, 2019)","noteIndex":0},"citationItems":[{"id":197,"uris":["http://zotero.org/users/6401767/items/GQAWGAVM"],"itemData":{"id":197,"type":"article-journal","abstract":"The principles underlying the assembly and structure of complex microbial communities are an issue of long-standing concern to the field of microbial ecology. We previously analyzed the community membership of bacterial communities associated with the green macroalga Ulva australis, and proposed a competitive lottery model for colonization of the algal surface in an attempt to explain the surprising lack of similarity in species composition across different algal samples. Here we extend the previous study by investigating the link between community structure and function in these communities, using metagenomic sequence analysis. Despite the high phylogenetic variability in microbial species composition on different U. australis (only 15% similarity between samples), similarity in functional composition was high (70%), and a core of functional genes present across all algal-associated communities was identified that were consistent with the ecology of surface- and host-associated bacteria. These functions were distributed widely across a variety of taxa or phylogenetic groups. This observation of similarity in habitat (niche) use with respect to functional genes, but not species, together with the relative ease with which bacteria share genetic material, suggests that the key level at which to address the assembly and structure of bacterial communities may not be “species” (by means of rRNA taxonomy), but rather the more functional level of genes.","container-title":"Proceedings of the National Academy of Sciences","DOI":"10.1073/pnas.1101591108","ISSN":"0027-8424, 1091-6490","issue":"34","journalAbbreviation":"PNAS","language":"en","note":"publisher: National Academy of Sciences\nsection: Biological Sciences\nPMID: 21825123","page":"14288-14293","source":"www.pnas.org","title":"Bacterial community assembly based on functional genes rather than species","volume":"108","author":[{"family":"Burke","given":"Catherine"},{"family":"Steinberg","given":"Peter"},{"family":"Rusch","given":"Doug"},{"family":"Kjelleberg","given":"Staffan"},{"family":"Thomas","given":"Torsten"}],"issued":{"date-parts":[["2011",8,23]]}}},{"id":196,"uris":["http://zotero.org/users/6401767/items/NLVE3K7R"],"itemData":{"id":196,"type":"article-journal","abstract":"The mammalian gut harbors a vast community of microorganisms - termed the microbiota - whose composition and dynamics are considered to be critical drivers of host health. These factors depend, in part, upon the manner in which microbes interact with one another. Microbes are known to engage in a myriad of different ways, ranging from unprovoked aggression to actively feeding each other. However, the relative extent to which these different interactions occur between microbes within the gut is unclear. In this minireview we assess our current knowledge of microbe-microbe interactions within the mammalian gut microbiota, and the array of methods used to uncover them. In particular, we highlight the discrepancies between different methodologies: some studies have revealed rich networks of cross-feeding interactions between microbes, whereas others suggest that microbes are more typically locked in conflict and actively cooperate only rarely. We argue that to reconcile these contradictions we must recognize that interactions between members of the microbiota can vary across condition, space, and time - and that only through embracing this dynamism will we be able to comprehensively understand the ecology of our gut communities.","container-title":"Current biology: CB","DOI":"10.1016/j.cub.2019.04.017","ISSN":"1879-0445","issue":"11","journalAbbreviation":"Curr. Biol.","language":"eng","note":"PMID: 31163167\nPMCID: PMC6935513","page":"R538-R544","source":"PubMed","title":"Understanding Competition and Cooperation within the Mammalian Gut Microbiome","volume":"29","author":[{"family":"Coyte","given":"Katharine Z."},{"family":"Rakoff-Nahoum","given":"Seth"}],"issued":{"date-parts":[["2019"]],"season":"03"}}}],"schema":"https://github.com/citation-style-language/schema/raw/master/csl-citation.json"}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noProof/>
        </w:rPr>
        <w:t>(Burke et al., 2011; Coyte &amp; Rakoff-Nahoum, 2019)</w:t>
      </w:r>
      <w:r w:rsidRPr="002579E0">
        <w:rPr>
          <w:rFonts w:ascii="Times New Roman" w:hAnsi="Times New Roman" w:cs="Times New Roman"/>
        </w:rPr>
        <w:fldChar w:fldCharType="end"/>
      </w:r>
      <w:r w:rsidRPr="002579E0">
        <w:rPr>
          <w:rFonts w:ascii="Times New Roman" w:hAnsi="Times New Roman" w:cs="Times New Roman"/>
        </w:rPr>
        <w:t xml:space="preserve">. Given the significant differences between microhabitats and the moderate turnover rate even within a microhabitat, heterogeneity of environmental communities and differential colonization success on hosts due to priority effects, in tandem with host physiology could explain the high heterogeneity of salamander-associated communities despite similar organismal filtering processes. </w:t>
      </w:r>
    </w:p>
    <w:p w14:paraId="3DC7F901" w14:textId="68846A12" w:rsidR="00C462FB" w:rsidRPr="00F4369A" w:rsidRDefault="00882CCF" w:rsidP="00A22C18">
      <w:pPr>
        <w:spacing w:line="360" w:lineRule="auto"/>
        <w:ind w:firstLine="720"/>
        <w:rPr>
          <w:rFonts w:ascii="Times New Roman" w:hAnsi="Times New Roman" w:cs="Times New Roman"/>
          <w:b/>
          <w:bCs/>
          <w:iCs/>
          <w:sz w:val="2"/>
          <w:szCs w:val="2"/>
        </w:rPr>
        <w:sectPr w:rsidR="00C462FB" w:rsidRPr="00F4369A" w:rsidSect="00457804">
          <w:pgSz w:w="12240" w:h="15840" w:code="1"/>
          <w:pgMar w:top="1440" w:right="1440" w:bottom="1440" w:left="1440" w:header="720" w:footer="1440" w:gutter="0"/>
          <w:pgNumType w:start="1"/>
          <w:cols w:space="720"/>
          <w:noEndnote/>
          <w:docGrid w:linePitch="360"/>
        </w:sectPr>
      </w:pPr>
      <w:r w:rsidRPr="002579E0">
        <w:rPr>
          <w:rFonts w:ascii="Times New Roman" w:hAnsi="Times New Roman" w:cs="Times New Roman"/>
        </w:rPr>
        <w:t xml:space="preserve">Finally, we identified 21 sequence variants with positive associations with salamanders, evidence of subtle convergence in the salamander skin microbiome. Many of these taxa were commonly found on amphibians in other studies and it is plausible these variants could play a role in host immunity, physiology, and/or establishment of other members if neutral to the host </w:t>
      </w:r>
      <w:r w:rsidRPr="002579E0">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{"citationID":"QHwZzWGY","properties":{"formattedCitation":"(Estrada et al., 2019; Sabino Pinto et al., 2017; Walke et al., 2020)","plainCitation":"(Estrada et al., 2019; Sabino Pinto et al., 2017; Walke et al., 2020)","noteIndex":0},"citationItems":[{"id":528,"uris":["http://zotero.org/users/6401767/items/N8NYH78G"],"itemData":{"id":528,"type":"article-journal","abstract":"The amphibian skin microbiome has been the focus of recent studies aiming to better understand the role of these microbial symbionts in host defense against disease. However, host-associated microbial communities are complex and dynamic, and changes in their composition and structure can influence their function. Understanding temporal variation of bacterial communities on amphibian skin is critical for establishing baselines from which to improve the development of mitigation techniques based on probiotic therapy and provides long-term host protection in a changing environment. Here, we investigated whether microbial communities on amphibian skin change over time at a single site. To examine this, we collected skin swabs from two pond-breeding species of treefrogs, Agalychnis callidryas and Dendropsophus ebraccatus, over 4 years at a single lowland tropical pond in Panamá. Relative abundance of operational taxonomic units (OTUs) based on 16S rRNA gene amplicon sequencing was used to determine bacterial community diversity on the skin of both treefrog species. We found significant variation in bacterial community structure across long and short-term time scales. Skin bacterial communities differed across years on both species and between seasons and sampling days only in D. ebraccatus. Importantly, bacterial community structures across days were as variable as year level comparisons. The differences in bacterial community were driven primarily by differences in relative abundance of key OTUs and explained by rainfall at the time of sampling. These findings suggest that skin-associated microbiomes are highly variable across time, and that for tropical lowland sites, rainfall is a good predictor of variability. However, more research is necessary to elucidate the significance of temporal variation in bacterial skin communities and their maintenance for amphibian conservation efforts.","container-title":"PeerJ","DOI":"10.7717/peerj.7044","ISSN":"2167-8359","journalAbbreviation":"PeerJ","note":"PMID: 31275740\nPMCID: PMC6590418","source":"PubMed Central","title":"Skin bacterial communities of neotropical treefrogs vary with local environmental conditions at the time of sampling","URL":"https://www.ncbi.nlm.nih.gov/pmc/articles/PMC6590418/","volume":"7","author":[{"family":"Estrada","given":"Angie"},{"family":"Hughey","given":"Myra C."},{"family":"Medina","given":"Daniel"},{"family":"Rebollar","given":"Eria A."},{"family":"Walke","given":"Jenifer B."},{"family":"Harris","given":"Reid N."},{"family":"Belden","given":"Lisa K."}],"accessed":{"date-parts":[["2020",12,24]]},"issued":{"date-parts":[["2019",6,21]]}}},{"id":529,"uris":["http://zotero.org/users/6401767/items/EE2VQ7WM"],"itemData":{"id":529,"type":"article-journal","abstract":"Animal-associated bacterial communities play essential roles for their host's ecology, physiology and health. Temporal dynamics of these communities are poorly understood, but might be of high relevance particularly for amphibians with a well-expressed biphasic biology of adults where the structure of their skin changes drastically between the aquatic and terrestrial phases. Here, we investigated the temporal dynamics of cutaneous bacterial communities of Lissotriton boscai and Triturus marmoratus by monthly sampling populations from a pond and surrounding terrestrial habitat near A Coruña, Spain. These communities were characterized by 16S rRNA amplicons from DNA isolated from skin swabs. Newt bacterial communities displayed variation at three levels: between larvae and aquatic adults, between adult life phases (terrestrial versus aquatic), and temporally within life phases. The skin bacterial communities tended to differ to a lesser extent temporally and between larvae and adults, and more strongly between life phases. Larvae had a higher proportion of reads associated with antifungal taxa compared to adults, while no differences were found among adult life phases. Terrestrial specimens exhibited the highest community diversity. The regular transitions of adult newts between aquatic and terrestrial environments might therefore contribute to the diversity of their skin microbiota and could increase disease resistance. This article is protected by copyright. All rights reserved.","container-title":"Environmental Microbiology","DOI":"10.1111/1462-2920.13762","journalAbbreviation":"Environmental Microbiology","source":"ResearchGate","title":"Temporal changes in cutaneous bacterial communities of terrestrial- and aquatic- phase newts (Amphibia)","volume":"19","author":[{"family":"Sabino Pinto","given":"Joana"},{"family":"Galán","given":"Pedro"},{"family":"Rodríguez","given":"Silvia"},{"family":"Bletz","given":"Molly"},{"family":"Bhuju","given":"Sabin"},{"family":"Geffers","given":"Robert"},{"family":"Jarek","given":"Michael"},{"family":"Vences","given":"Miguel"}],"issued":{"date-parts":[["2017",4,1]]}}},{"id":"aW8cvW4I/IsrR75Sn","uris":["http://zotero.org/users/6401767/items/W3P6ASV7"],"itemData":{"id":659,"type":"article-journal","abstract":"Abstract\n            Amphibians host diverse skin bacteria that have a role in pathogen defense, but these skin communities could change over time and impact this function. Here, we monitored individual Eastern red-spotted newts (Notophthalmus viridescens; N = 17) for two years in a field pond enclosure and assessed the effects of season and disturbance on skin bacterial community dynamics. We created disturbances by adding additional pond substrate to the enclosure at two timepoints. We planned to sample the skin bacterial community and metabolite profiles of each newt every six weeks; we ultimately sampled eight individuals at least six times. We used 16S rRNA gene amplicon sequencing to characterize the bacterial communities and HPLC-MS for metabolite profiling. We found that disturbance had a dramatic effect on skin bacterial communities and metabolite profiles, while season had an effect only using select metrics. There were seven core bacterial taxa (97% OTUs) that were found on all newts in all seasons, pre- and post-disturbance. Lastly, there was a correlation between bacterial and metabolite profiles post-disturbance, which was not observed pre-disturbance. This longitudinal study suggests that environmental disturbances can have lasting effects on skin bacterial communities that overwhelm seasonal changes, although the core bacteria remain relatively consistent over time.","container-title":"FEMS Microbiology Ecology","DOI":"10.1093/femsec/fiaa248","ISSN":"0168-6496, 1574-6941","language":"en","page":"fiaa248","source":"DOI.org (Crossref)","title":"Seasonal changes and the unexpected impact of environmental disturbance on skin bacteria of individual amphibians in a natural habitat","author":[{"family":"Walke","given":"Jenifer B"},{"family":"Becker","given":"Matthew H"},{"family":"Krinos","given":"Arianna"},{"family":"Chang","given":"Elizabeth A B"},{"family":"Santiago","given":"Celina"},{"family":"Umile","given":"Thomas P"},{"family":"Minbiole","given":"Kevin P C"},{"family":"Belden","given":"Lisa K"}],"issued":{"date-parts":[["2020",12,5]]}}}],"schema":"https://github.com/citation-style-language/schema/raw/master/csl-citation.json"} </w:instrText>
      </w:r>
      <w:r w:rsidRPr="002579E0">
        <w:rPr>
          <w:rFonts w:ascii="Times New Roman" w:hAnsi="Times New Roman" w:cs="Times New Roman"/>
        </w:rPr>
        <w:fldChar w:fldCharType="separate"/>
      </w:r>
      <w:r w:rsidR="004D2321">
        <w:rPr>
          <w:rFonts w:ascii="Times New Roman" w:hAnsi="Times New Roman" w:cs="Times New Roman"/>
        </w:rPr>
        <w:t>(Estrada et al., 2019; Sabino Pinto et al., 2017; Walke et al., 2020)</w:t>
      </w:r>
      <w:r w:rsidRPr="002579E0">
        <w:rPr>
          <w:rFonts w:ascii="Times New Roman" w:hAnsi="Times New Roman" w:cs="Times New Roman"/>
        </w:rPr>
        <w:fldChar w:fldCharType="end"/>
      </w:r>
      <w:r w:rsidRPr="002579E0">
        <w:rPr>
          <w:rFonts w:ascii="Times New Roman" w:hAnsi="Times New Roman" w:cs="Times New Roman"/>
        </w:rPr>
        <w:t>. From this standpoint, understanding the temporal constancy of these indicator taxa on hosts could prove valuable for understanding both the evolutionary and ecological processes dictating the community structure and potential function on host</w:t>
      </w:r>
      <w:r w:rsidR="00FF045E">
        <w:rPr>
          <w:rFonts w:ascii="Times New Roman" w:hAnsi="Times New Roman" w:cs="Times New Roman"/>
        </w:rPr>
        <w:t>s.</w:t>
      </w:r>
    </w:p>
    <w:bookmarkEnd w:id="12"/>
    <w:p w14:paraId="1682CEB8" w14:textId="77777777" w:rsidR="001F2C98" w:rsidRDefault="001F2C98" w:rsidP="000D1C08">
      <w:pPr>
        <w:rPr>
          <w:rFonts w:ascii="Times New Roman" w:hAnsi="Times New Roman" w:cs="Times New Roman"/>
        </w:rPr>
      </w:pPr>
    </w:p>
    <w:p w14:paraId="494195F0" w14:textId="17C1B9D2" w:rsidR="00A961B9" w:rsidRDefault="00CE3A3E" w:rsidP="00755F44">
      <w:pPr>
        <w:pStyle w:val="Heading1"/>
        <w:rPr>
          <w:rFonts w:ascii="Times New Roman" w:hAnsi="Times New Roman" w:cs="Times New Roman"/>
          <w:szCs w:val="28"/>
        </w:rPr>
      </w:pPr>
      <w:bookmarkStart w:id="40" w:name="_Toc289175833"/>
      <w:bookmarkStart w:id="41" w:name="_Toc165028061"/>
      <w:r w:rsidRPr="00DF7C87">
        <w:rPr>
          <w:rFonts w:ascii="Times New Roman" w:hAnsi="Times New Roman" w:cs="Times New Roman"/>
          <w:szCs w:val="28"/>
        </w:rPr>
        <w:t>CHAPTER I</w:t>
      </w:r>
      <w:r w:rsidR="00236E6D" w:rsidRPr="00DF7C87">
        <w:rPr>
          <w:rFonts w:ascii="Times New Roman" w:hAnsi="Times New Roman" w:cs="Times New Roman"/>
          <w:szCs w:val="28"/>
        </w:rPr>
        <w:t>I</w:t>
      </w:r>
      <w:r w:rsidR="006F27AB">
        <w:rPr>
          <w:rFonts w:ascii="Times New Roman" w:hAnsi="Times New Roman" w:cs="Times New Roman"/>
          <w:szCs w:val="28"/>
        </w:rPr>
        <w:t>:</w:t>
      </w:r>
      <w:r w:rsidR="00E459DC" w:rsidRPr="00DF7C87">
        <w:rPr>
          <w:rFonts w:ascii="Times New Roman" w:hAnsi="Times New Roman" w:cs="Times New Roman"/>
          <w:szCs w:val="28"/>
        </w:rPr>
        <w:br/>
      </w:r>
      <w:bookmarkEnd w:id="40"/>
      <w:r w:rsidR="00871BEF" w:rsidRPr="00871BEF">
        <w:rPr>
          <w:rFonts w:ascii="Times New Roman" w:hAnsi="Times New Roman" w:cs="Times New Roman"/>
          <w:szCs w:val="28"/>
        </w:rPr>
        <w:t>Signatures of stochastic colonization and extinction dominate salamander skin microbiomes</w:t>
      </w:r>
      <w:bookmarkEnd w:id="41"/>
    </w:p>
    <w:p w14:paraId="07B08103" w14:textId="2FFC1CBE" w:rsidR="00F71ADC" w:rsidRPr="00A961B9" w:rsidRDefault="00A961B9" w:rsidP="00A961B9">
      <w:pPr>
        <w:rPr>
          <w:rFonts w:ascii="Times New Roman" w:hAnsi="Times New Roman" w:cs="Times New Roman"/>
          <w:b/>
          <w:bCs/>
          <w:caps/>
          <w:sz w:val="28"/>
          <w:szCs w:val="28"/>
        </w:rPr>
      </w:pPr>
      <w:r>
        <w:rPr>
          <w:rFonts w:ascii="Times New Roman" w:hAnsi="Times New Roman" w:cs="Times New Roman"/>
          <w:szCs w:val="28"/>
        </w:rPr>
        <w:br w:type="page"/>
      </w:r>
    </w:p>
    <w:p w14:paraId="7421E5BC" w14:textId="77777777" w:rsidR="00236E6D" w:rsidRPr="00D67BE1" w:rsidRDefault="00CE4D4B" w:rsidP="00D67BE1">
      <w:pPr>
        <w:pStyle w:val="Heading2"/>
        <w:spacing w:line="360" w:lineRule="auto"/>
        <w:rPr>
          <w:rFonts w:ascii="Times New Roman" w:hAnsi="Times New Roman" w:cs="Times New Roman"/>
        </w:rPr>
      </w:pPr>
      <w:bookmarkStart w:id="42" w:name="_Toc289175834"/>
      <w:bookmarkStart w:id="43" w:name="_Toc165028062"/>
      <w:r w:rsidRPr="00D67BE1">
        <w:rPr>
          <w:rFonts w:ascii="Times New Roman" w:hAnsi="Times New Roman" w:cs="Times New Roman"/>
        </w:rPr>
        <w:lastRenderedPageBreak/>
        <w:t>Abstract</w:t>
      </w:r>
      <w:bookmarkEnd w:id="42"/>
      <w:bookmarkEnd w:id="43"/>
    </w:p>
    <w:p w14:paraId="2547E974" w14:textId="7DC6A605" w:rsidR="00CE4D4B" w:rsidRPr="00D67BE1" w:rsidRDefault="00871BEF" w:rsidP="00D67BE1">
      <w:pPr>
        <w:spacing w:line="360" w:lineRule="auto"/>
        <w:rPr>
          <w:rFonts w:ascii="Times New Roman" w:hAnsi="Times New Roman" w:cs="Times New Roman"/>
        </w:rPr>
      </w:pPr>
      <w:r w:rsidRPr="00D67BE1">
        <w:rPr>
          <w:rFonts w:ascii="Times New Roman" w:hAnsi="Times New Roman" w:cs="Times New Roman"/>
        </w:rPr>
        <w:t xml:space="preserve">Symbiotic communities associated with animal hosts are widespread across the animal kingdom. The ramifications of these associations can </w:t>
      </w:r>
      <w:r w:rsidR="002243BA" w:rsidRPr="00D67BE1">
        <w:rPr>
          <w:rFonts w:ascii="Times New Roman" w:hAnsi="Times New Roman" w:cs="Times New Roman"/>
        </w:rPr>
        <w:t>affect</w:t>
      </w:r>
      <w:r w:rsidRPr="00D67BE1">
        <w:rPr>
          <w:rFonts w:ascii="Times New Roman" w:hAnsi="Times New Roman" w:cs="Times New Roman"/>
        </w:rPr>
        <w:t xml:space="preserve"> host physiology and fitness but understanding the processes underlying community structure remains elusive for large, complex communities in the context of host ecology and physiology. In this study, we use the amphibian skin microbiome as a system for understanding the processes leading to differentiation between individual hosts, other host species, and their environmental reservoirs. Null ecological models were utilized to understand the relative strengths of host filtering, priority effects, environmental transmission, and random differences between individual salamanders, salamander species, and free-living assemblages in aquatic and terrestrial habitats. Results indicate community disparity among individual salamanders was greater than among environmental samples, suggesting widespread differentiation stemming from idiosyncratic, as opposed to salamander-specific, conditions. Apart from a small core community, the salamander skin microbiome is a product of weak and random ecological processes, with differentiation from cover objects stemming primarily from stochastic dispersal or random local extinction at the lowest taxonomic levels.</w:t>
      </w:r>
    </w:p>
    <w:p w14:paraId="52D3CC39" w14:textId="147AF8C0" w:rsidR="00CE4D4B" w:rsidRPr="00D67BE1" w:rsidRDefault="00CE4D4B" w:rsidP="00D67BE1">
      <w:pPr>
        <w:pStyle w:val="Heading2"/>
        <w:spacing w:line="360" w:lineRule="auto"/>
        <w:rPr>
          <w:rFonts w:ascii="Times New Roman" w:hAnsi="Times New Roman" w:cs="Times New Roman"/>
        </w:rPr>
      </w:pPr>
      <w:bookmarkStart w:id="44" w:name="_Toc289175835"/>
      <w:bookmarkStart w:id="45" w:name="_Toc165028063"/>
      <w:r w:rsidRPr="00D67BE1">
        <w:rPr>
          <w:rFonts w:ascii="Times New Roman" w:hAnsi="Times New Roman" w:cs="Times New Roman"/>
        </w:rPr>
        <w:t>Introduction</w:t>
      </w:r>
      <w:bookmarkEnd w:id="44"/>
      <w:bookmarkEnd w:id="45"/>
    </w:p>
    <w:p w14:paraId="7A8FDD3C" w14:textId="13AD7A40" w:rsidR="00AC575A" w:rsidRPr="00E402D1" w:rsidRDefault="00AC575A" w:rsidP="00AC575A">
      <w:pPr>
        <w:spacing w:line="360" w:lineRule="auto"/>
        <w:ind w:firstLine="720"/>
        <w:rPr>
          <w:rFonts w:ascii="Times New Roman" w:hAnsi="Times New Roman" w:cs="Times New Roman"/>
        </w:rPr>
      </w:pPr>
      <w:r w:rsidRPr="00E402D1">
        <w:rPr>
          <w:rFonts w:ascii="Times New Roman" w:hAnsi="Times New Roman" w:cs="Times New Roman"/>
        </w:rPr>
        <w:t xml:space="preserve">The patterns and processes leading to the establishment of vertebrate-associated microbial communities are commonly understood through the lens of island biogeography and community assembly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{"citationID":"lDj93ecK","properties":{"formattedCitation":"(McFall-Ngai et al., 2013; Nemergut et al., 2013; Sprockett et al., 2018)","plainCitation":"(McFall-Ngai et al., 2013; Nemergut et al., 2013; Sprockett et al., 2018)","noteIndex":0},"citationItems":[{"id":540,"uris":["http://zotero.org/users/6401767/items/C2D4ICLV"],"itemData":{"id":540,"type":"article-journal","container-title":"Proceedings of the National Academy of Sciences","DOI":"10.1073/pnas.1218525110","ISSN":"0027-8424, 1091-6490","issue":"9","journalAbbreviation":"Proc Natl Acad Sci USA","language":"en","page":"3229-3236","source":"DOI.org (Crossref)","title":"Animals in a bacterial world, a new imperative for the life sciences","volume":"110","author":[{"family":"McFall-Ngai","given":"Margaret"},{"family":"Hadfield","given":"Michael G."},{"family":"Bosch","given":"Thomas C. G."},{"family":"Carey","given":"Hannah V."},{"family":"Domazet-Lošo","given":"Tomislav"},{"family":"Douglas","given":"Angela E."},{"family":"Dubilier","given":"Nicole"},{"family":"Eberl","given":"Gerard"},{"family":"Fukami","given":"Tadashi"},{"family":"Gilbert","given":"Scott F."},{"family":"Hentschel","given":"Ute"},{"family":"King","given":"Nicole"},{"family":"Kjelleberg","given":"Staffan"},{"family":"Knoll","given":"Andrew H."},{"family":"Kremer","given":"Natacha"},{"family":"Mazmanian","given":"Sarkis K."},{"family":"Metcalf","given":"Jessica L."},{"family":"Nealson","given":"Kenneth"},{"family":"Pierce","given":"Naomi E."},{"family":"Rawls","given":"John F."},{"family":"Reid","given":"Ann"},{"family":"Ruby","given":"Edward G."},{"family":"Rumpho","given":"Mary"},{"family":"Sanders","given":"Jon G."},{"family":"Tautz","given":"Diethard"},{"family":"Wernegreen","given":"Jennifer J."}],"issued":{"date-parts":[["2013",2,26]]}}},{"id":466,"uris":["http://zotero.org/users/6401767/items/7MIMSZG4"],"itemData":{"id":466,"type":"article-journal","container-title":"Microbiology and Molecular Biology Reviews","DOI":"10.1128/MMBR.00051-12","ISSN":"1092-2172","issue":"3","journalAbbreviation":"Microbiology and Molecular Biology Reviews","language":"en","page":"342-356","source":"DOI.org (Crossref)","title":"Patterns and Processes of Microbial Community Assembly","volume":"77","author":[{"family":"Nemergut","given":"D. R."},{"family":"Schmidt","given":"S. K."},{"family":"Fukami","given":"T."},{"family":"O'Neill","given":"S. P."},{"family":"Bilinski","given":"T. M."},{"family":"Stanish","given":"L. F."},{"family":"Knelman","given":"J. E."},{"family":"Darcy","given":"J. L."},{"family":"Lynch","given":"R. C."},{"family":"Wickey","given":"P."},{"family":"Ferrenberg","given":"S."}],"issued":{"date-parts":[["2013",9,1]]}}},{"id":471,"uris":["http://zotero.org/users/6401767/items/9NGH2V4P"],"itemData":{"id":471,"type":"article-journal","abstract":"Understanding how microbial communities develop is essential for predicting and directing their future states. Ecological theory suggests that community development is often influenced by priority effects, in which the order and timing of species arrival determine how species affect one another. Priority effects can have long-lasting consequences, particularly if species arrival history varies during the early stage of community development, but their importance to the human gut microbiota and host health remains largely unknown. Here, we explore how priority effects might influence microbial communities in the gastrointestinal tract during early childhood and how the strength of priority effects can be estimated from the composition of the microbial species pool. We also discuss factors that alter microbial transmission, such as delivery mode, diet and parenting behaviours such as breastfeeding, which can influence the likelihood of priority effects. An improved knowledge of priority effects has the potential to inform microorganism-based therapies, such as prebiotics and probiotics, which are aimed at guiding the microbiota towards a healthy state.","container-title":"Nature Reviews. Gastroenterology &amp; Hepatology","DOI":"10.1038/nrgastro.2017.173","ISSN":"1759-5053","issue":"4","journalAbbreviation":"Nat Rev Gastroenterol Hepatol","language":"eng","note":"PMID: 29362469\nPMCID: PMC6813786","page":"197-205","source":"PubMed","title":"Role of priority effects in the early-life assembly of the gut microbiota","volume":"15","author":[{"family":"Sprockett","given":"Daniel"},{"family":"Fukami","given":"Tadashi"},{"family":"Relman","given":"David A."}],"issued":{"date-parts":[["2018",4]]}}}],"schema":"https://github.com/citation-style-language/schema/raw/master/csl-citation.json"}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(McFall-Ngai et al., 2013; Nemergut et al., 2013; Sprockett et al., 2018)</w:t>
      </w:r>
      <w:r w:rsidRPr="00E402D1">
        <w:rPr>
          <w:rFonts w:ascii="Times New Roman" w:hAnsi="Times New Roman" w:cs="Times New Roman"/>
        </w:rPr>
        <w:fldChar w:fldCharType="end"/>
      </w:r>
      <w:r w:rsidRPr="00E402D1">
        <w:rPr>
          <w:rFonts w:ascii="Times New Roman" w:hAnsi="Times New Roman" w:cs="Times New Roman"/>
        </w:rPr>
        <w:t xml:space="preserve">. </w:t>
      </w:r>
      <w:proofErr w:type="gramStart"/>
      <w:r w:rsidRPr="00E402D1">
        <w:rPr>
          <w:rFonts w:ascii="Times New Roman" w:hAnsi="Times New Roman" w:cs="Times New Roman"/>
        </w:rPr>
        <w:t>In particular, host-associated</w:t>
      </w:r>
      <w:proofErr w:type="gramEnd"/>
      <w:r w:rsidRPr="00E402D1">
        <w:rPr>
          <w:rFonts w:ascii="Times New Roman" w:hAnsi="Times New Roman" w:cs="Times New Roman"/>
        </w:rPr>
        <w:t xml:space="preserve"> communities can be broken down into three linked facets resulting from stochastic and deterministic processes. First, a source community is needed to establish on or in the host, whether it be through vertical transmission from a parent or horizontally from other animals or the environment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{"citationID":"vJeMI86z","properties":{"formattedCitation":"(Bright &amp; Bulgheresi, 2010; Kouete et al., 2023; Nemergut et al., 2013)","plainCitation":"(Bright &amp; Bulgheresi, 2010; Kouete et al., 2023; Nemergut et al., 2013)","noteIndex":0},"citationItems":[{"id":544,"uris":["http://zotero.org/users/6401767/items/VU6SQR4P"],"itemData":{"id":544,"type":"article-journal","abstract":"The perpetuation of symbioses through host generations relies on symbiont transmission. Horizontally transmitted symbionts are taken up from the environment anew by each host generation, and vertically transmitted symbionts are most often transferred through the female germ line. Mixed modes also exist. In this Review we describe the journey of symbionts from the initial contact to their final residence. We provide an overview of the molecular mechanisms that mediate symbiont attraction and accumulation, interpartner recognition and selection, as well as symbiont confrontation with the host immune system. We also discuss how the two main transmission modes shape the evolution of the symbiotic partners.","container-title":"Nature reviews. Microbiology","DOI":"10.1038/nrmicro2262","ISSN":"1740-1526","issue":"3","journalAbbreviation":"Nat Rev Microbiol","note":"PMID: 20157340\nPMCID: PMC2967712","page":"218-230","source":"PubMed Central","title":"A complex journey: transmission of microbial symbionts","title-short":"A complex journey","volume":"8","author":[{"family":"Bright","given":"Monika"},{"family":"Bulgheresi","given":"Silvia"}],"issued":{"date-parts":[["2010",3]]}}},{"id":66,"uris":["http://zotero.org/users/6401767/items/CUSU7CYK"],"itemData":{"id":66,"type":"article-journal","abstract":"Our current understanding of vertebrate skin and gut microbiomes, and their vertical transmission, remains incomplete as major lineages and varied forms of parental care remain unexplored. The diverse and elaborate forms of parental care exhibited by amphibians constitute an ideal system to study microbe transmission, yet investigations of vertical transmission among frogs and salamanders have been inconclusive. In this study, we assess bacteria transmission in Herpele squalostoma, an oviparous direct-developing caecilian in which females obligately attend juveniles that feed on their mother’s skin (dermatophagy).","container-title":"Animal Microbiome","DOI":"10.1186/s42523-023-00243-x","ISSN":"2524-4671","issue":"1","journalAbbreviation":"Animal Microbiome","page":"28","source":"BioMed Central","title":"Parental care contributes to vertical transmission of microbes in a skin-feeding and direct-developing caecilian","volume":"5","author":[{"family":"Kouete","given":"Marcel T."},{"family":"Bletz","given":"Molly C."},{"family":"LaBumbard","given":"Brandon C."},{"family":"Woodhams","given":"Douglas C."},{"family":"Blackburn","given":"David C."}],"issued":{"date-parts":[["2023",5,15]]}}},{"id":466,"uris":["http://zotero.org/users/6401767/items/7MIMSZG4"],"itemData":{"id":466,"type":"article-journal","container-title":"Microbiology and Molecular Biology Reviews","DOI":"10.1128/MMBR.00051-12","ISSN":"1092-2172","issue":"3","journalAbbreviation":"Microbiology and Molecular Biology Reviews","language":"en","page":"342-356","source":"DOI.org (Crossref)","title":"Patterns and Processes of Microbial Community Assembly","volume":"77","author":[{"family":"Nemergut","given":"D. R."},{"family":"Schmidt","given":"S. K."},{"family":"Fukami","given":"T."},{"family":"O'Neill","given":"S. P."},{"family":"Bilinski","given":"T. M."},{"family":"Stanish","given":"L. F."},{"family":"Knelman","given":"J. E."},{"family":"Darcy","given":"J. L."},{"family":"Lynch","given":"R. C."},{"family":"Wickey","given":"P."},{"family":"Ferrenberg","given":"S."}],"issued":{"date-parts":[["2013",9,1]]}}}],"schema":"https://github.com/citation-style-language/schema/raw/master/csl-citation.json"}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(Bright &amp; Bulgheresi, 2010; Kouete et al., 2023; Nemergut et al., 2013)</w:t>
      </w:r>
      <w:r w:rsidRPr="00E402D1">
        <w:rPr>
          <w:rFonts w:ascii="Times New Roman" w:hAnsi="Times New Roman" w:cs="Times New Roman"/>
        </w:rPr>
        <w:fldChar w:fldCharType="end"/>
      </w:r>
      <w:r w:rsidRPr="00E402D1">
        <w:rPr>
          <w:rFonts w:ascii="Times New Roman" w:hAnsi="Times New Roman" w:cs="Times New Roman"/>
        </w:rPr>
        <w:t xml:space="preserve">. Environmental transmission is reminiscent of the mainland-island model of community ecology where dispersal makes local communities similar to regional communities while local extinctions make them more dissimilar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{"citationID":"f4aJ92ka","properties":{"formattedCitation":"(Wilson &amp; MacArthur, 1967)","plainCitation":"(Wilson &amp; MacArthur, 1967)","noteIndex":0},"citationItems":[{"id":55,"uris":["http://zotero.org/users/6401767/items/SZT5KMWZ"],"itemData":{"id":55,"type":"book","abstract":"Biogeography was stuck in a \"natural history phase\" dominated by the collection of data, the young Princeton biologists Robert H. MacArthur and Edward O. Wilson argued in 1967. In this book, the authors developed a general theory to explain the facts of island biogeography. The theory builds on the first principles of population ecology and genetics to explain how distance and area combine to regulate the balance between immigration and extinction in island populations. The authors then test the theory against data. The Theory of Island Biogeography was never intended as the last word on the subject. Instead, MacArthur and Wilson sought to stimulate new forms of theoretical and empirical studies, which will lead in turn to a stronger general theory. Even a third of a century since its publication, the book continues to serve that purpose well. From popular books like David Quammen's Song of the Dodo to arguments in the professional literature, The Theory of Island Biogeography remains at the center of discussions about the geographic distribution of species. In a new preface, Edward O. Wilson reviews the origins and consequences of this classic book.","event-place":"Princeton","ISBN":"978-1-4008-8137-6","publisher":"Princeton University Press","publisher-place":"Princeton","title":"The Theory of Island Biogeography","author":[{"family":"Wilson","given":"Edward O."},{"family":"MacArthur","given":"Robert H."}],"accessed":{"date-parts":[["2023",6,7]]},"issued":{"date-parts":[["1967"]]}}}],"schema":"https://github.com/citation-style-language/schema/raw/master/csl-citation.json"}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(Wilson &amp; MacArthur, 1967)</w:t>
      </w:r>
      <w:r w:rsidRPr="00E402D1">
        <w:rPr>
          <w:rFonts w:ascii="Times New Roman" w:hAnsi="Times New Roman" w:cs="Times New Roman"/>
        </w:rPr>
        <w:fldChar w:fldCharType="end"/>
      </w:r>
      <w:r w:rsidRPr="00E402D1">
        <w:rPr>
          <w:rFonts w:ascii="Times New Roman" w:hAnsi="Times New Roman" w:cs="Times New Roman"/>
        </w:rPr>
        <w:t xml:space="preserve">. Second, host-mediated effects can act as non-random barriers to colonization or causes of extinction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{"citationID":"PVKNQOwU","properties":{"formattedCitation":"(Lim &amp; Bordenstein, 2020; Mazel et al., 2018)","plainCitation":"(Lim &amp; Bordenstein, 2020; Mazel et al., 2018)","noteIndex":0},"citationItems":[{"id":464,"uris":["http://zotero.org/users/6401767/items/AVGG84U9"],"itemData":{"id":464,"type":"article-journal","abstract":"Phylosymbiosis was recently formulated to support a hypothesis-driven framework for the characterization of a new, cross-system trend in host-associated microbiomes. Defining phylosymbiosis as ‘microbial community relationships that recapitulate the phylogeny of their host’, we review the relevant literature and data in the last decade, emphasizing frequently used methods and regular patterns observed in analyses. Quantitative support for phylosymbiosis is provided by statistical methods evaluating higher microbiome variation between host species than within host species, topological similarities between the host phylogeny and microbiome dendrogram, and a positive association between host genetic relationships and microbiome beta diversity. Significant degrees of phylosymbiosis are prevalent, but not universal, in microbiomes of plants and animals from terrestrial and aquatic habitats. Consistent with natural selection shaping phylosymbiosis, microbiome transplant experiments demonstrate reduced host performance and/or fitness upon host–microbiome mismatches. Hybridization can also disrupt phylosymbiotic microbiomes and cause hybrid pathologies. The pervasiveness of phylosymbiosis carries several important implications for advancing knowledge of eco-evolutionary processes that impact host–microbiome interactions and future applications of precision microbiology. Important future steps will be to examine phylosymbiosis beyond bacterial communities, apply evolutionary modelling for an increasingly sophisticated understanding of phylosymbiosis, and unravel the host and microbial mechanisms that contribute to the pattern. This review serves as a gateway to experimental, conceptual and quantitative themes of phylosymbiosis and outlines opportunities ripe for investigation from a diversity of disciplines.","container-title":"Proceedings of the Royal Society B: Biological Sciences","DOI":"10.1098/rspb.2019.2900","issue":"1922","journalAbbreviation":"Proceedings of the Royal Society B: Biological Sciences","note":"publisher: Royal Society","page":"20192900","source":"royalsocietypublishing.org (Atypon)","title":"An introduction to phylosymbiosis","volume":"287","author":[{"family":"Lim","given":"Shen Jean"},{"family":"Bordenstein","given":"Seth R."}],"issued":{"date-parts":[["2020",3,11]]}}},{"id":457,"uris":["http://zotero.org/users/6401767/items/E2TQ65PT"],"itemData":{"id":457,"type":"article-journal","container-title":"mSystems","DOI":"10.1128/mSystems.00097-18","ISSN":"2379-5077","issue":"5","page":"e00097-18","source":"PubMed","title":"Is Host Filtering the Main Driver of Phylosymbiosis across the Tree of Life?","volume":"3","author":[{"family":"Mazel","given":"Florent"},{"family":"Davis","given":"Katherine M"},{"family":"Loudon","given":"Andrew"},{"family":"Kwong","given":"Waldan K"},{"family":"Groussin","given":"Mathieu"},{"family":"Parfrey","given":"Laura Wegener"}],"issued":{"date-parts":[["2018",10,23]]}}}],"schema":"https://github.com/citation-style-language/schema/raw/master/csl-citation.json"}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(Lim &amp; Bordenstein, 2020; Mazel et al., 2018)</w:t>
      </w:r>
      <w:r w:rsidRPr="00E402D1">
        <w:rPr>
          <w:rFonts w:ascii="Times New Roman" w:hAnsi="Times New Roman" w:cs="Times New Roman"/>
        </w:rPr>
        <w:fldChar w:fldCharType="end"/>
      </w:r>
      <w:r w:rsidRPr="00E402D1">
        <w:rPr>
          <w:rFonts w:ascii="Times New Roman" w:hAnsi="Times New Roman" w:cs="Times New Roman"/>
        </w:rPr>
        <w:t xml:space="preserve">. These effects may be direct (arising from host traits such as secretions) or indirect (arising from things like host habitat utilization or diet). These factors </w:t>
      </w:r>
      <w:r w:rsidRPr="00E402D1">
        <w:rPr>
          <w:rFonts w:ascii="Times New Roman" w:hAnsi="Times New Roman" w:cs="Times New Roman"/>
        </w:rPr>
        <w:lastRenderedPageBreak/>
        <w:t xml:space="preserve">can make host-associated communities appear more similar to those of closely related hosts than expected by chance alone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{"citationID":"8Sy7jvKr","properties":{"formattedCitation":"(Kohl, 2020)","plainCitation":"(Kohl, 2020)","noteIndex":0},"citationItems":[{"id":139,"uris":["http://zotero.org/users/6401767/items/GEXA2DS2"],"itemData":{"id":139,"type":"article-journal","abstract":"Phylosymbiosis, where similarities in host-associated microbial communities recapitulate the phylogeny of their hosts, is a newly recognized yet pervasive pattern in the field of host–microbe interactions. While phylosymbiosis has been documented across many systems, we still have a poor understanding of the mechanisms that underlie this emergent pattern. Host selection of the microbiome is a widely cited mechanism, yet other basic ecological and evolutionary processes (dispersal, drift and diversification) may also be at play. This paper discusses the roles that each of these processes and their interactions may play in yielding phylosymbiotic signals across hosts. Finally, this paper will identify open questions and methods that are required to better understand the relative contributions of these basic processes to phylosymbiosis. Given that phylosymbiosis has been shown to relate to functional components of host fitness, understanding the processes that contribute to these patterns will be important for our understanding of the ecology and evolution of host–microbe interactions.\n            This article is part of the theme issue ‘Conceptual challenges in microbial community ecology’.","container-title":"Philosophical Transactions of the Royal Society B: Biological Sciences","DOI":"10.1098/rstb.2019.0251","ISSN":"0962-8436, 1471-2970","issue":"1798","journalAbbreviation":"Phil. Trans. R. Soc. B","language":"en","page":"20190251","source":"DOI.org (Crossref)","title":"Ecological and evolutionary mechanisms underlying patterns of phylosymbiosis in host-associated microbial communities","volume":"375","author":[{"family":"Kohl","given":"Kevin D."}],"issued":{"date-parts":[["2020",5,11]]}}}],"schema":"https://github.com/citation-style-language/schema/raw/master/csl-citation.json"}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(Kohl, 2020)</w:t>
      </w:r>
      <w:r w:rsidRPr="00E402D1">
        <w:rPr>
          <w:rFonts w:ascii="Times New Roman" w:hAnsi="Times New Roman" w:cs="Times New Roman"/>
        </w:rPr>
        <w:fldChar w:fldCharType="end"/>
      </w:r>
      <w:r w:rsidRPr="00E402D1">
        <w:rPr>
          <w:rFonts w:ascii="Times New Roman" w:hAnsi="Times New Roman" w:cs="Times New Roman"/>
        </w:rPr>
        <w:t xml:space="preserve">. Alternatively, host-associated communities could be largely dissimilar from each other stemming from neutral processes such as drift. Finally, residing microbes competing for resources can shift the relative abundances of local communities through cooperation, interference, or exploitation. These ecological interactions can have varied effects on community composition between hosts depending on the complexity of interaction networks, resource availability, and niche space. </w:t>
      </w:r>
    </w:p>
    <w:p w14:paraId="7C27517C" w14:textId="4EF0B09C" w:rsidR="00AC575A" w:rsidRPr="00E402D1" w:rsidRDefault="00AC575A" w:rsidP="00AC575A">
      <w:pPr>
        <w:spacing w:line="360" w:lineRule="auto"/>
        <w:ind w:firstLine="720"/>
        <w:rPr>
          <w:rFonts w:ascii="Times New Roman" w:hAnsi="Times New Roman" w:cs="Times New Roman"/>
        </w:rPr>
      </w:pPr>
      <w:r w:rsidRPr="00E402D1">
        <w:rPr>
          <w:rFonts w:ascii="Times New Roman" w:hAnsi="Times New Roman" w:cs="Times New Roman"/>
        </w:rPr>
        <w:t xml:space="preserve">A less-often discussed structuring factor in host-associated communities is historical contingency, chiefly priority effects. Priority effects can shape a community through two mechanisms: niche preemption and niche modification. Niche preemption occurs when nutrient depletion from an early colonizer prevents colonization of microbes occupying the same niche (exploitative competition), thus the inhibitory relationship is dependent on the order of colonization if the two microbes are competitively similar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{"citationID":"4dOSmYRh","properties":{"formattedCitation":"(Debray et al., 2022)","plainCitation":"(Debray et al., 2022)","noteIndex":0},"citationItems":[{"id":61,"uris":["http://zotero.org/users/6401767/items/XVJY7EX3"],"itemData":{"id":61,"type":"article-journal","abstract":"Advances in next-generation sequencing have enabled the widespread measurement of microbiome composition across systems and over the course of microbiome assembly. Despite substantial progress in understanding the deterministic drivers of community composition, the role of historical contingency remains poorly understood. The establishment of new species in a community can depend on the order and/or timing of their arrival, a phenomenon known as a priority effect. Here, we review the mechanisms of priority effects and evidence for their importance in microbial communities inhabiting a range of environments, including the mammalian gut, the plant phyllosphere and rhizosphere, soil, freshwaters and oceans. We describe approaches for the direct testing and prediction of priority effects in complex microbial communities and illustrate these with re-analysis of publicly available plant and animal microbiome datasets. Finally, we discuss the shared principles that emerge across study systems, focusing on eco-evolutionary dynamics and the importance of scale. Overall, we argue that predicting when and how current community state impacts the success of newly arriving microbial taxa is crucial for the management of microbiomes to sustain ecological function and host health. We conclude by discussing outstanding conceptual and practical challenges that are faced when measuring priority effects in microbiomes.","container-title":"Nature Reviews Microbiology","DOI":"10.1038/s41579-021-00604-w","ISSN":"1740-1526, 1740-1534","issue":"2","journalAbbreviation":"Nat Rev Microbiol","language":"en","page":"109-121","source":"DOI.org (Crossref)","title":"Priority effects in microbiome assembly","volume":"20","author":[{"family":"Debray","given":"Reena"},{"family":"Herbert","given":"Robin A."},{"family":"Jaffe","given":"Alexander L."},{"family":"Crits-Christoph","given":"Alexander"},{"family":"Power","given":"Mary E."},{"family":"Koskella","given":"Britt"}],"issued":{"date-parts":[["2022",2]]}}}],"schema":"https://github.com/citation-style-language/schema/raw/master/csl-citation.json"}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(Debray et al., 2022)</w:t>
      </w:r>
      <w:r w:rsidRPr="00E402D1">
        <w:rPr>
          <w:rFonts w:ascii="Times New Roman" w:hAnsi="Times New Roman" w:cs="Times New Roman"/>
        </w:rPr>
        <w:fldChar w:fldCharType="end"/>
      </w:r>
      <w:r w:rsidRPr="00E402D1">
        <w:rPr>
          <w:rFonts w:ascii="Times New Roman" w:hAnsi="Times New Roman" w:cs="Times New Roman"/>
        </w:rPr>
        <w:t xml:space="preserve">. Alternatively, niche modification can be facilitative or inhibitory when early colonizers alter niche availability for later colonizers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{"citationID":"mqUMujap","properties":{"formattedCitation":"(Fukami, 2015)","plainCitation":"(Fukami, 2015)","noteIndex":0},"citationItems":[{"id":76,"uris":["http://zotero.org/users/6401767/items/NBH5M858"],"itemData":{"id":76,"type":"article-journal","abstract":"The order and timing of species immigration during community assembly can affect species abundances at multiple spatial scales. Known as priority effects, these effects cause historical contingency in the structure and function of communities, resulting in alternative stable states, alternative transient states, or compositional cycles. The mechanisms of priority effects fall into two categories, niche preemption and niche modification, and the conditions for historical contingency by priority effects can be organized into two groups, those regarding regional species pool properties and those regarding local population dynamics. Specifically, two requirements must be satisfied for historical contingency to occur: The regional pool contains species that can together cause priority effects, and local dynamics are rapid enough for early-arriving species to preempt or modify niches before other species arrive. Organizing current knowledge this way reveals an outstanding key question: How are regional species pools that yield priority effects generated and maintained?","container-title":"Annual Review of Ecology, Evolution, and Systematics","DOI":"10.1146/annurev-ecolsys-110411-160340","ISSN":"1543-592X, 1545-2069","issue":"1","journalAbbreviation":"Annu. Rev. Ecol. Evol. Syst.","language":"en","page":"1-23","source":"DOI.org (Crossref)","title":"Historical Contingency in Community Assembly: Integrating Niches, Species Pools, and Priority Effects","title-short":"Historical Contingency in Community Assembly","volume":"46","author":[{"family":"Fukami","given":"Tadashi"}],"issued":{"date-parts":[["2015",12,4]]}}}],"schema":"https://github.com/citation-style-language/schema/raw/master/csl-citation.json"}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(Fukami, 2015)</w:t>
      </w:r>
      <w:r w:rsidRPr="00E402D1">
        <w:rPr>
          <w:rFonts w:ascii="Times New Roman" w:hAnsi="Times New Roman" w:cs="Times New Roman"/>
        </w:rPr>
        <w:fldChar w:fldCharType="end"/>
      </w:r>
      <w:r w:rsidRPr="00E402D1">
        <w:rPr>
          <w:rFonts w:ascii="Times New Roman" w:hAnsi="Times New Roman" w:cs="Times New Roman"/>
        </w:rPr>
        <w:t xml:space="preserve">. This type of priority effect is more likely for large, diverse communities with high dispersal rates from environmental reservoirs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{"citationID":"nVkDdmNF","properties":{"formattedCitation":"(Fukami, 2015; Kohl, 2020)","plainCitation":"(Fukami, 2015; Kohl, 2020)","noteIndex":0},"citationItems":[{"id":76,"uris":["http://zotero.org/users/6401767/items/NBH5M858"],"itemData":{"id":76,"type":"article-journal","abstract":"The order and timing of species immigration during community assembly can affect species abundances at multiple spatial scales. Known as priority effects, these effects cause historical contingency in the structure and function of communities, resulting in alternative stable states, alternative transient states, or compositional cycles. The mechanisms of priority effects fall into two categories, niche preemption and niche modification, and the conditions for historical contingency by priority effects can be organized into two groups, those regarding regional species pool properties and those regarding local population dynamics. Specifically, two requirements must be satisfied for historical contingency to occur: The regional pool contains species that can together cause priority effects, and local dynamics are rapid enough for early-arriving species to preempt or modify niches before other species arrive. Organizing current knowledge this way reveals an outstanding key question: How are regional species pools that yield priority effects generated and maintained?","container-title":"Annual Review of Ecology, Evolution, and Systematics","DOI":"10.1146/annurev-ecolsys-110411-160340","ISSN":"1543-592X, 1545-2069","issue":"1","journalAbbreviation":"Annu. Rev. Ecol. Evol. Syst.","language":"en","page":"1-23","source":"DOI.org (Crossref)","title":"Historical Contingency in Community Assembly: Integrating Niches, Species Pools, and Priority Effects","title-short":"Historical Contingency in Community Assembly","volume":"46","author":[{"family":"Fukami","given":"Tadashi"}],"issued":{"date-parts":[["2015",12,4]]}}},{"id":139,"uris":["http://zotero.org/users/6401767/items/GEXA2DS2"],"itemData":{"id":139,"type":"article-journal","abstract":"Phylosymbiosis, where similarities in host-associated microbial communities recapitulate the phylogeny of their hosts, is a newly recognized yet pervasive pattern in the field of host–microbe interactions. While phylosymbiosis has been documented across many systems, we still have a poor understanding of the mechanisms that underlie this emergent pattern. Host selection of the microbiome is a widely cited mechanism, yet other basic ecological and evolutionary processes (dispersal, drift and diversification) may also be at play. This paper discusses the roles that each of these processes and their interactions may play in yielding phylosymbiotic signals across hosts. Finally, this paper will identify open questions and methods that are required to better understand the relative contributions of these basic processes to phylosymbiosis. Given that phylosymbiosis has been shown to relate to functional components of host fitness, understanding the processes that contribute to these patterns will be important for our understanding of the ecology and evolution of host–microbe interactions.\n            This article is part of the theme issue ‘Conceptual challenges in microbial community ecology’.","container-title":"Philosophical Transactions of the Royal Society B: Biological Sciences","DOI":"10.1098/rstb.2019.0251","ISSN":"0962-8436, 1471-2970","issue":"1798","journalAbbreviation":"Phil. Trans. R. Soc. B","language":"en","page":"20190251","source":"DOI.org (Crossref)","title":"Ecological and evolutionary mechanisms underlying patterns of phylosymbiosis in host-associated microbial communities","volume":"375","author":[{"family":"Kohl","given":"Kevin D."}],"issued":{"date-parts":[["2020",5,11]]}}}],"schema":"https://github.com/citation-style-language/schema/raw/master/csl-citation.json"} </w:instrText>
      </w:r>
      <w:r w:rsidRPr="00E402D1">
        <w:rPr>
          <w:rFonts w:ascii="Times New Roman" w:hAnsi="Times New Roman" w:cs="Times New Roman"/>
        </w:rPr>
        <w:fldChar w:fldCharType="separate"/>
      </w:r>
      <w:r w:rsidR="004D2321">
        <w:rPr>
          <w:rFonts w:ascii="Times New Roman" w:hAnsi="Times New Roman" w:cs="Times New Roman"/>
        </w:rPr>
        <w:t>(Fukami, 2015; Kohl, 2020)</w:t>
      </w:r>
      <w:r w:rsidRPr="00E402D1">
        <w:rPr>
          <w:rFonts w:ascii="Times New Roman" w:hAnsi="Times New Roman" w:cs="Times New Roman"/>
        </w:rPr>
        <w:fldChar w:fldCharType="end"/>
      </w:r>
      <w:r w:rsidRPr="00E402D1">
        <w:rPr>
          <w:rFonts w:ascii="Times New Roman" w:hAnsi="Times New Roman" w:cs="Times New Roman"/>
        </w:rPr>
        <w:t xml:space="preserve">, and is expected to decrease similarity between hosts in the absence of strong selection or structuring hub taxa. Priority effects have lasting impacts on the function and taxonomic composition of the microbiome by mediating selection and dispersal as microbes on the host engage in competition or cooperation with potential colonizers </w:t>
      </w:r>
      <w:r w:rsidRPr="00E402D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{"citationID":"u98oFfb9","properties":{"formattedCitation":"(Furman et al., 2020; Jackrel et al., 2020; Mart\\uc0\\u237{}nez et al., 2018; Sprockett et al., 2018; Toju et al., 2018)","plainCitation":"(Furman et al., 2020; Jackrel et al., 2020; Martínez et al., 2018; Sprockett et al., 2018; Toju et al., 2018)","noteIndex":0},"citationItems":[{"id":60,"uris":["http://zotero.org/users/6401767/items/4HVMVQEJ"],"itemData":{"id":60,"type":"article-journal","abstract":"How complex communities assemble through the animal’s life, and how predictable the process is remains unexplored. Here, we investigate the forces that drive the assembly of rumen microbiomes throughout a cow’s life, with emphasis on the balance between stochastic and deterministic processes. We analyse the development of the rumen microbiome from birth to adulthood using 16S-rRNA amplicon sequencing data and find that the animals shared a group of core successional species that invaded early on and persisted until adulthood. Along with deterministic factors, such as age and diet, early arriving species exerted strong priority effects, whereby dynamics of late successional taxa were strongly dependent on microbiome composition at early life stages. Priority effects also manifest as dramatic changes in microbiome development dynamics between animals delivered by C-section vs. natural birth, with the former undergoing much more rapid species invasion and accelerated microbiome development. Overall, our findings show that together with strong deterministic constrains imposed by diet and age, stochastic colonization in early life has long-lasting impacts on the development of animal microbiomes.","container-title":"Nature Communications","DOI":"10.1038/s41467-020-15652-8","ISSN":"2041-1723","issue":"1","journalAbbreviation":"Nat Commun","language":"en","license":"2020 The Author(s)","note":"number: 1\npublisher: Nature Publishing Group","page":"1904","source":"www.nature.com","title":"Stochasticity constrained by deterministic effects of diet and age drive rumen microbiome assembly dynamics","volume":"11","author":[{"family":"Furman","given":"Ori"},{"family":"Shenhav","given":"Liat"},{"family":"Sasson","given":"Goor"},{"family":"Kokou","given":"Fotini"},{"family":"Honig","given":"Hen"},{"family":"Jacoby","given":"Shamay"},{"family":"Hertz","given":"Tomer"},{"family":"Cordero","given":"Otto X."},{"family":"Halperin","given":"Eran"},{"family":"Mizrahi","given":"Itzhak"}],"issued":{"date-parts":[["2020",4,20]]}}},{"id":543,"uris":["http://zotero.org/users/6401767/items/I6NC9YHZ"],"itemData":{"id":543,"type":"article-journal","abstract":"Bacteria associated with eukaryotic hosts can affect host fitness and trophic interactions between eukaryotes, but the extent to which bacteria influence the eukaryotic species interactions within trophic levels that modulate biodiversity and species coexistence is mostly unknown. Here, we used phytoplankton, which are a classic model for evaluating interactions between species, grown with and without associated bacteria to test whether the bacteria alter the strength and type of species interactions within a trophic level. We demonstrate that host-associated bacteria alter host growth rates and carrying capacity. This did not change the type but frequently changed the strength of host interspecific interactions by facilitating host growth in the presence of an established species. These findings indicate that microbiomes can regulate their host species’ interspecific interactions. As between-species interaction strength impacts their ability to coexist, our findings show that microbiomes have the potential to modulate eukaryotic species diversity and community composition.\nIMPORTANCE Description of the Earth’s microbiota has recently undergone a phenomenal expansion that has challenged basic assumptions in many areas of biology, including hominid evolution, human gastrointestinal and neurodevelopmental disorders, and plant adaptation to climate change. By using the classic model system of freshwater phytoplankton that has been drawn upon for numerous foundational theories in ecology, we show that microbiomes, by facilitating their host population, can also influence between-species interactions among their eukaryotic hosts. Between-species interactions, including competition for resources, has been a central tenet in the field of ecology because of its implications for the diversity and composition of communities and how this in turn shapes ecosystem functioning.","container-title":"mBio","DOI":"10.1128/mBio.02657-19","ISSN":"2150-7511","issue":"1","language":"en","license":"Copyright © 2020 Jackrel et al.. This is an open-access article distributed under the terms of the Creative Commons Attribution 4.0 International license.","note":"publisher: American Society for Microbiology\nsection: Research Article\nPMID: 31964727","source":"mbio.asm.org","title":"Microbiomes Reduce Their Host’s Sensitivity to Interspecific Interactions","URL":"https://mbio.asm.org/content/11/1/e02657-19","volume":"11","author":[{"family":"Jackrel","given":"Sara L."},{"family":"Schmidt","given":"Kathryn C."},{"family":"Cardinale","given":"Bradley J."},{"family":"Denef","given":"Vincent J."}],"accessed":{"date-parts":[["2020",12,17]]},"issued":{"date-parts":[["2020",2,25]]}}},{"id":408,"uris":["http://zotero.org/users/6401767/items/7H62BCYS"],"itemData":{"id":408,"type":"article-journal","abstract":"The factors that govern assembly of the gut microbiota are insufficiently understood. Here, we test the hypothesis that inter-individual microbiota variation can arise solely from differences in the order and timing by which the gut is colonized early in life. Experiments in which mice were inoculated in sequence either with two complex seed communities or a cocktail of four bacterial strains and a seed community revealed that colonization order influenced both the outcome of community assembly and the ecological success of individual colonizers. Historical contingency and priority effects also occurred in Rag1-/- mice, suggesting that the adaptive immune system is not a major contributor to these processes. In conclusion, this study established a measurable effect of colonization history on gut microbiota assembly in a model in which host and environmental factors were strictly controlled, illuminating a potential cause for the high levels of unexplained individuality in host-associated microbial communities.","container-title":"eLife","DOI":"10.7554/eLife.36521","ISSN":"2050-084X","note":"publisher: eLife Sciences Publications, Ltd","page":"e36521","source":"eLife","title":"Experimental evaluation of the importance of colonization history in early-life gut microbiota assembly","volume":"7","author":[{"family":"Martínez","given":"Inés"},{"family":"Maldonado-Gomez","given":"Maria X"},{"family":"Gomes-Neto","given":"João Carlos"},{"family":"Kittana","given":"Hatem"},{"family":"Ding","given":"Hua"},{"family":"Schmaltz","given":"Robert"},{"family":"Joglekar","given":"Payal"},{"family":"Cardona","given":"Roberto Jiménez"},{"family":"Marsteller","given":"Nathan L"},{"family":"Kembel","given":"Steven W"},{"family":"Benson","given":"Andrew K"},{"family":"Peterson","given":"Daniel A"},{"family":"Ramer-Tait","given":"Amanda E"},{"family":"Walter","given":"Jens"}],"editor":[{"family":"Ley","given":"Ruth Emily"},{"family":"Garrett","given":"Wendy S"}],"issued":{"date-parts":[["2018",9,18]]}}},{"id":471,"uris":["http://zotero.org/users/6401767/items/9NGH2V4P"],"itemData":{"id":471,"type":"article-journal","abstract":"Understanding how microbial communities develop is essential for predicting and directing their future states. Ecological theory suggests that community development is often influenced by priority effects, in which the order and timing of species arrival determine how species affect one another. Priority effects can have long-lasting consequences, particularly if species arrival history varies during the early stage of community development, but their importance to the human gut microbiota and host health remains largely unknown. Here, we explore how priority effects might influence microbial communities in the gastrointestinal tract during early childhood and how the strength of priority effects can be estimated from the composition of the microbial species pool. We also discuss factors that alter microbial transmission, such as delivery mode, diet and parenting behaviours such as breastfeeding, which can influence the likelihood of priority effects. An improved knowledge of priority effects has the potential to inform microorganism-based therapies, such as prebiotics and probiotics, which are aimed at guiding the microbiota towards a healthy state.","container-title":"Nature Reviews. Gastroenterology &amp; Hepatology","DOI":"10.1038/nrgastro.2017.173","ISSN":"1759-5053","issue":"4","journalAbbreviation":"Nat Rev Gastroenterol Hepatol","language":"eng","note":"PMID: 29362469\nPMCID: PMC6813786","page":"197-205","source":"PubMed","title":"Role of priority effects in the early-life assembly of the gut microbiota","volume":"15","author":[{"family":"Sprockett","given":"Daniel"},{"family":"Fukami","given":"Tadashi"},{"family":"Relman","given":"David A."}],"issued":{"date-parts":[["2018",4]]}}},{"id":199,"uris":["http://zotero.org/users/6401767/items/Y7J3985W"],"itemData":{"id":199,"type":"article-journal","abstract":"The order of species arrival can influence how species interact with one another and, consequently, which species may coexist in local communities. This phenomenon, called priority effects, has been observed in various types of communities, but it remains unclear whether priority effects persist over the long term spanning multiple generations of local communities in metacommunities. Focusing on bacteria and yeasts that colonize floral nectar of the sticky monkey flower, Mimulus aurantiacus, via hummingbirds and other flower-visiting animals, we experimentally manipulated initial microbial dominance on plants (regarded as metacommunities) to examine whether its effects persisted across multiple generations of flowers (regarded as local microbial habitats). The experimental introduction of Neokomagataea (= Gluconobacter) bacteria and Metschnikowia yeasts into wild flowers showed that the effects of initial dominance were observable across multiple floral generations. Three weeks after introduction, corresponding approximately to three floral generations, Neokomagataea introduction led to exclusion of yeasts, whereas Metschnikowia introduction did not result in the exclusion of Neokomagataea. Our results suggest that, even when local habitats are ephemeral, priority effects may influence multiple generations of local communities within metacommunities.","container-title":"Oikos","DOI":"10.1111/oik.04243","ISSN":"1600-0706","issue":"3","language":"en","note":"_eprint: https://onlinelibrary.wiley.com/doi/pdf/10.1111/oik.04243","page":"345-352","source":"Wiley Online Library","title":"Priority effects can persist across floral generations in nectar microbial metacommunities","volume":"127","author":[{"family":"Toju","given":"Hirokazu"},{"family":"Vannette","given":"Rachel L."},{"family":"Gauthier","given":"Marie-Pierre L."},{"family":"Dhami","given":"Manpreet K."},{"family":"Fukami","given":"Tadashi"}],"issued":{"date-parts":[["2018"]]}}}],"schema":"https://github.com/citation-style-language/schema/raw/master/csl-citation.json"} </w:instrText>
      </w:r>
      <w:r w:rsidRPr="00E402D1">
        <w:rPr>
          <w:rFonts w:ascii="Times New Roman" w:hAnsi="Times New Roman" w:cs="Times New Roman"/>
        </w:rPr>
        <w:fldChar w:fldCharType="separate"/>
      </w:r>
      <w:r w:rsidR="004D2321" w:rsidRPr="004D2321">
        <w:rPr>
          <w:rFonts w:ascii="Times New Roman" w:hAnsi="Times New Roman" w:cs="Times New Roman"/>
        </w:rPr>
        <w:t>(Furman et al., 2020; Jackrel et al., 2020; Martínez et al., 2018; Sprockett et al., 2018; Toju et al., 2018)</w:t>
      </w:r>
      <w:r w:rsidRPr="00E402D1">
        <w:rPr>
          <w:rFonts w:ascii="Times New Roman" w:hAnsi="Times New Roman" w:cs="Times New Roman"/>
        </w:rPr>
        <w:fldChar w:fldCharType="end"/>
      </w:r>
      <w:r w:rsidRPr="00E402D1">
        <w:rPr>
          <w:rFonts w:ascii="Times New Roman" w:hAnsi="Times New Roman" w:cs="Times New Roman"/>
        </w:rPr>
        <w:t xml:space="preserve">. </w:t>
      </w:r>
    </w:p>
    <w:p w14:paraId="6DA8766B" w14:textId="4D6B0C24" w:rsidR="00F64394" w:rsidRPr="00D67BE1" w:rsidRDefault="00F64394" w:rsidP="000D1D5A">
      <w:pPr>
        <w:spacing w:line="360" w:lineRule="auto"/>
        <w:ind w:firstLine="720"/>
        <w:rPr>
          <w:rFonts w:ascii="Times New Roman" w:hAnsi="Times New Roman" w:cs="Times New Roman"/>
        </w:rPr>
      </w:pPr>
      <w:r w:rsidRPr="00E402D1">
        <w:rPr>
          <w:rFonts w:ascii="Times New Roman" w:hAnsi="Times New Roman" w:cs="Times New Roman"/>
        </w:rPr>
        <w:t xml:space="preserve">External microbiomes are in constant contact with environmental reservoirs and thus present an appealing system for studying assembly patterns. Host-associated communities </w:t>
      </w:r>
      <w:r w:rsidR="000B4190">
        <w:rPr>
          <w:rFonts w:ascii="Times New Roman" w:hAnsi="Times New Roman" w:cs="Times New Roman"/>
        </w:rPr>
        <w:t>could</w:t>
      </w:r>
      <w:r w:rsidRPr="00E402D1">
        <w:rPr>
          <w:rFonts w:ascii="Times New Roman" w:hAnsi="Times New Roman" w:cs="Times New Roman"/>
        </w:rPr>
        <w:t xml:space="preserve"> </w:t>
      </w:r>
      <w:r w:rsidRPr="00D67BE1">
        <w:rPr>
          <w:rFonts w:ascii="Times New Roman" w:hAnsi="Times New Roman" w:cs="Times New Roman"/>
        </w:rPr>
        <w:t xml:space="preserve">range from isolated islands inhospitable to dispersing microbes to entirely nested communities differing only in the number of species. The amphibian skin possesses a thin layer of gel-forming mucins hypothesized to act as both a nutrient source for residing microbes and a barrier for colonization and can result in the subsistence of microbes even in the absence of a reservoir </w:t>
      </w:r>
      <w:r w:rsidR="009C2DCD">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{"citationID":"a1u05coatv5","properties":{"formattedCitation":"(Loudon et al., 2016)","plainCitation":"(Loudon et al., 2016)","noteIndex":0},"citationItems":[{"id":102,"uris":["http://zotero.org/users/6401767/items/TBGAK3AB"],"itemData":{"id":102,"type":"article-journal","abstract":"Skin bacterial communities can protect amphibians from a fungal pathogen; however, little is known about how these communities are maintained. We used a neutral model of community ecology to identify bacteria that are maintained on salamanders by selection or by dispersal from a bacterial reservoir (soil) and ecological drift. We found that 75% (9/12) of bacteria that were consistent with positive selection, &lt;1% of bacteria that were consistent with random dispersal and none of the bacteria that were consistent under negative selection had a 97% or greater match to antifungal isolates. Additionally we performed an experiment where salamanders were either provided or denied a bacterial reservoir and estimated immigration and loss (emigration and local extinction) rates of bacteria on salamanders in both treatments. Loss was strongly related to bacterial richness, suggesting competition is important for structuring the community. Bacteria closely related to antifungal isolates were more likely to persist on salamanders with or without a bacterial reservoir, suggesting they had a competitive advantage. Furthermore, over-represented and under-represented operational taxonomic units (OTUs) had similar persistence on salamanders when a bacterial reservoir was present. However, under-represented OTUs were less likely to persist in the absence of a bacterial reservoir, suggesting that the over-represented and under-represented bacteria were selected against or for on salamanders through time. Our ﬁndings from the neutral model, migration and persistence analyses show that bacteria that exhibit a high similarity to antifungal isolates persist on salamanders, which likely protect hosts against pathogens and improve ﬁtness. This research is one of the ﬁrst to apply ecological theory to investigate assembly of host associated-bacterial communities, which can provide insights for probiotic bioaugmentation as a conservation strategy against disease.","container-title":"Frontiers in Microbiology","DOI":"10.3389/fmicb.2016.00333","ISSN":"1664-302X","journalAbbreviation":"Front. Microbiol.","language":"en","source":"DOI.org (Crossref)","title":"Vertebrate Hosts as Islands: Dynamics of Selection, Immigration, Loss, Persistence, and Potential Function of Bacteria on Salamander Skin","title-short":"Vertebrate Hosts as Islands","URL":"http://journal.frontiersin.org/Article/10.3389/fmicb.2016.00333/abstract","volume":"7","author":[{"family":"Loudon","given":"Andrew H."},{"family":"Venkataraman","given":"Arvind"},{"family":"Van Treuren","given":"William"},{"family":"Woodhams","given":"Douglas C."},{"family":"Parfrey","given":"Laura Wegener"},{"family":"McKenzie","given":"Valerie J."},{"family":"Knight","given":"Rob"},{"family":"Schmidt","given":"Thomas M."},{"family":"Harris","given":"Reid N."}],"accessed":{"date-parts":[["2020",8,10]]},"issued":{"date-parts":[["2016",3,16]]}}}],"schema":"https://github.com/citation-style-language/schema/raw/master/csl-citation.json"} </w:instrText>
      </w:r>
      <w:r w:rsidR="009C2DCD">
        <w:rPr>
          <w:rFonts w:ascii="Times New Roman" w:hAnsi="Times New Roman" w:cs="Times New Roman"/>
        </w:rPr>
        <w:fldChar w:fldCharType="separate"/>
      </w:r>
      <w:r w:rsidR="004D2321">
        <w:rPr>
          <w:rFonts w:ascii="Times New Roman" w:hAnsi="Times New Roman" w:cs="Times New Roman"/>
        </w:rPr>
        <w:t>(Loudon et al., 2016)</w:t>
      </w:r>
      <w:r w:rsidR="009C2DCD">
        <w:rPr>
          <w:rFonts w:ascii="Times New Roman" w:hAnsi="Times New Roman" w:cs="Times New Roman"/>
        </w:rPr>
        <w:fldChar w:fldCharType="end"/>
      </w:r>
      <w:r w:rsidRPr="00D67BE1">
        <w:rPr>
          <w:rFonts w:ascii="Times New Roman" w:hAnsi="Times New Roman" w:cs="Times New Roman"/>
        </w:rPr>
        <w:t xml:space="preserve">. More distantly distributed granular glands secrete a cocktail of bioactive molecules with varied effects on residing and dispersing microbes </w:t>
      </w:r>
      <w:r w:rsidRPr="00D67BE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{"citationID":"L2Hc5K39","properties":{"formattedCitation":"(Flechas et al., 2019; Pereira et al., 2023)","plainCitation":"(Flechas et al., 2019; Pereira et al., 2023)","noteIndex":0},"citationItems":[{"id":200,"uris":["http://zotero.org/users/6401767/items/5R2VQDVA"],"itemData":{"id":200,"type":"article-journal","abstract":"Management of hyper-virulent generalist pathogens is an emergent global challenge, yet for most disease systems we lack a basic understanding as to why some host species suffer mass mortalities, while others resist epizootics. We studied two sympatric species of frogs from the Colombian Andes, which coexist with the amphibian pathogen Batrachochytrium dendrobatidis (Bd), to understand why some species did not succumb to the infection. We found high Bd prevalence in juveniles for both species, yet infection intensities remained low. We also found that bacterial community composition and host defense peptides are speciﬁc to amphibian life stages. We detected abundant Bd-inhibitory skin bacteria across life stages and Bd-inhibitory defense peptides post-metamorphosis in both species. Bd-inhibitory bacteria were proportionally more abundant in adults of both species than in earlier developmental stages. We tested for activity of peptides against the skin microbiota and found that in general peptides did not negatively affect bacterial growth and in some instances facilitated growth. Our results suggest that symbiotic bacteria and antimicrobial peptides may be co-selected for, and that together they contribute to the ability of Andean amphibian species to coexist with the global pandemic lineage of Bd.","container-title":"The ISME Journal","DOI":"10.1038/s41396-018-0284-9","ISSN":"1751-7362, 1751-7370","issue":"2","journalAbbreviation":"ISME J","language":"en","page":"361-373","source":"DOI.org (Crossref)","title":"Microbiota and skin defense peptides may facilitate coexistence of two sympatric Andean frog species with a lethal pathogen","volume":"13","author":[{"family":"Flechas","given":"Sandra V."},{"family":"Acosta-González","given":"Alejandro"},{"family":"Escobar","given":"Laura A."},{"family":"Kueneman","given":"Jordan G."},{"family":"Sánchez-Quitian","given":"Zilpa Adriana"},{"family":"Parra-Giraldo","given":"Claudia M."},{"family":"Rollins-Smith","given":"Louise A."},{"family":"Reinert","given":"Laura K."},{"family":"Vredenburg","given":"Vance T."},{"family":"Amézquita","given":"Adolfo"},{"family":"Woodhams","given":"Douglas C."}],"issued":{"date-parts":[["2019",2]]}}},{"id":67,"uris":["http://zotero.org/users/6401767/items/7M2KD5XQ"],"itemData":{"id":67,"type":"article-journal","abstract":"Given the current and future costs of antibiotic-resistant bacteria to human health and economic productivity, there is an urgent need to develop new antimicrobial compounds. Antimicrobial peptides are a promising alternative to conventional antibiotics and other antimicrobials. Amphibian skin is a rich source of bioactive compounds, but the antibacterial properties of salamander skin peptides have been neglected. Here, we examined the in vitro ability of skin peptides from 9 species of salamander representing 6 salamander families to inhibit the growth of ESKAPE pathogens, which are bacteria that have developed resistance to conventional antibiotics. We also examined whether the skin peptides caused lysis of human red blood cells. Skin peptides from Amphiuma tridactylum had the greatest antimicrobial properties, completely inhibiting the growth of all bacterial strains except for Enterococcus faecium. Likewise, skin peptides from Cryptobranchus alleganiensis completely inhibited the growth of several of the bacterial strains. In contrast, skin peptide mixtures from Ambystoma maculatum, Desmognathus fuscus, Eurycea bislineata, E. longicauda, Necturus beyeri, N. maculosus, and Siren intermedia did not completely inhibit bacterial growth even at the highest concentrations. Finally, none of the skin peptide mixtures caused lysis of human red blood cells. Together, we demonstrate that salamander skin produces peptides with potent antibacterial properties. It remains to elucidate the peptide sequences and their antibacterial mechanisms.","container-title":"Current Microbiology","DOI":"10.1007/s00284-023-03320-1","ISSN":"1432-0991","issue":"7","journalAbbreviation":"Curr Microbiol","language":"en","page":"214","source":"Springer Link","title":"In Vitro Investigation of the Antibacterial Activity of Salamander Skin Peptides","volume":"80","author":[{"family":"Pereira","given":"Kenzie E."},{"family":"Deslouches","given":"Jakobi T."},{"family":"Deslouches","given":"Berthony"},{"family":"Woodley","given":"Sarah K."}],"issued":{"date-parts":[["2023",5,17]]}}}],"schema":"https://github.com/citation-style-language/schema/raw/master/csl-citation.json"} </w:instrText>
      </w:r>
      <w:r w:rsidRPr="00D67BE1">
        <w:rPr>
          <w:rFonts w:ascii="Times New Roman" w:hAnsi="Times New Roman" w:cs="Times New Roman"/>
        </w:rPr>
        <w:fldChar w:fldCharType="separate"/>
      </w:r>
      <w:r w:rsidR="004D2321">
        <w:rPr>
          <w:rFonts w:ascii="Times New Roman" w:hAnsi="Times New Roman" w:cs="Times New Roman"/>
          <w:noProof/>
        </w:rPr>
        <w:t>(Flechas et al., 2019; Pereira et al., 2023)</w:t>
      </w:r>
      <w:r w:rsidRPr="00D67BE1">
        <w:rPr>
          <w:rFonts w:ascii="Times New Roman" w:hAnsi="Times New Roman" w:cs="Times New Roman"/>
        </w:rPr>
        <w:fldChar w:fldCharType="end"/>
      </w:r>
      <w:r w:rsidRPr="00D67BE1">
        <w:rPr>
          <w:rFonts w:ascii="Times New Roman" w:hAnsi="Times New Roman" w:cs="Times New Roman"/>
        </w:rPr>
        <w:t xml:space="preserve">. </w:t>
      </w:r>
      <w:r w:rsidR="000D1D5A">
        <w:rPr>
          <w:rFonts w:ascii="Times New Roman" w:hAnsi="Times New Roman" w:cs="Times New Roman"/>
        </w:rPr>
        <w:t>However, amphibian skin microbiomes are</w:t>
      </w:r>
      <w:r w:rsidRPr="00D67BE1">
        <w:rPr>
          <w:rFonts w:ascii="Times New Roman" w:hAnsi="Times New Roman" w:cs="Times New Roman"/>
        </w:rPr>
        <w:t xml:space="preserve"> generally heavily reliant on </w:t>
      </w:r>
      <w:r w:rsidRPr="00D67BE1">
        <w:rPr>
          <w:rFonts w:ascii="Times New Roman" w:hAnsi="Times New Roman" w:cs="Times New Roman"/>
        </w:rPr>
        <w:lastRenderedPageBreak/>
        <w:t>environmental reservoirs,</w:t>
      </w:r>
      <w:r w:rsidR="000D1D5A">
        <w:rPr>
          <w:rFonts w:ascii="Times New Roman" w:hAnsi="Times New Roman" w:cs="Times New Roman"/>
        </w:rPr>
        <w:t xml:space="preserve"> with</w:t>
      </w:r>
      <w:r w:rsidRPr="00D67BE1">
        <w:rPr>
          <w:rFonts w:ascii="Times New Roman" w:hAnsi="Times New Roman" w:cs="Times New Roman"/>
        </w:rPr>
        <w:t xml:space="preserve"> studies typically find hosts to be statistically ‘different’ </w:t>
      </w:r>
      <w:r w:rsidR="000D1D5A">
        <w:rPr>
          <w:rFonts w:ascii="Times New Roman" w:hAnsi="Times New Roman" w:cs="Times New Roman"/>
        </w:rPr>
        <w:t xml:space="preserve">from reservoirs </w:t>
      </w:r>
      <w:r w:rsidRPr="00D67BE1">
        <w:rPr>
          <w:rFonts w:ascii="Times New Roman" w:hAnsi="Times New Roman" w:cs="Times New Roman"/>
        </w:rPr>
        <w:t xml:space="preserve">in community dissimilarity analyses, implying potential alternative assembly processes </w:t>
      </w:r>
      <w:r w:rsidRPr="00D67BE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{"citationID":"F8d7PVJY","properties":{"formattedCitation":"(Bird et al., 2018b; Fitzpatrick &amp; Allison, 2014; Kueneman et al., 2019; Prado-Irwin et al., 2017)","plainCitation":"(Bird et al., 2018b; Fitzpatrick &amp; Allison, 2014; Kueneman et al., 2019; Prado-Irwin et al., 2017)","noteIndex":0},"citationItems":[{"id":281,"uris":["http://zotero.org/users/6401767/items/8I32S2WT"],"itemData":{"id":281,"type":"article-journal","abstract":"A multitude of microorganisms live on and within plant and animal hosts, yet the ecology and evolution of these microbial communities remains poorly understood in many taxa. This study examined the extent to which environmental factors and host taxonomic identity explain microbiome variation within two salamander genera, Ensatina and Batrachoseps, in the family Plethodontidae. In particular, we assessed whether microbiome differentiation paralleled host genetic distance at three levels of taxonomy: genus and high and low clade levels within Ensatina eschscholtzii. We predicted that more genetically related host populations would have more similar microbiomes than more distantly related host populations. We found that salamander microbiomes possess bacterial species that are most likely acquired from their surrounding soil environment, but the relative representation of those bacterial species is significantly different on the skin of salamanders compared to soil. We found differences in skin microbiome alpha diversity among Ensatina higher and lower clade groups, as well as differences between Ensatina and Batrachoseps. We also found that relative microbiome composition (beta diversity) did vary between Ensatina lower clades, but differences were driven by only a few clades and not correlated to clade genetic distances. We conclude this difference was likely a result of Ensatina lower clades being associated with geographic location and habitat type, as salamander identity at higher taxonomic levels (genus and Ensatina higher clades) was a weak predictor of microbiome composition. These results lead us to conclude that environmental factors are likely playing a more significant role in salamander cutaneous microbiome assemblages than host-specific traits.","container-title":"Frontiers in Microbiology","ISSN":"1664-302X","source":"Frontiers","title":"Skin Microbiomes of California Terrestrial Salamanders Are Influenced by Habitat More Than Host Phylogeny","URL":"https://www.frontiersin.org/article/10.3389/fmicb.2018.00442","volume":"9","author":[{"family":"Bird","given":"Alicia K."},{"family":"Prado-Irwin","given":"Sofia R."},{"family":"Vredenburg","given":"Vance T."},{"family":"Zink","given":"Andrew G."}],"accessed":{"date-parts":[["2022",6,29]]},"issued":{"date-parts":[["2018"]]}}},{"id":147,"uris":["http://zotero.org/users/6401767/items/SGZA38D6"],"itemData":{"id":147,"type":"article-journal","abstract":"Bacteria on salamander skin are not exactly the same as the bacteria on the logs they hide under, but the differences are surprisingly subtle.","container-title":"FEMS Microbiology Ecology","DOI":"10.1111/1574-6941.12314","ISSN":"0168-6496","issue":"3","journalAbbreviation":"FEMS Microbiol Ecol","language":"en","note":"publisher: Oxford Academic","page":"482-494","source":"academic.oup.com","title":"Similarity and differentiation between bacteria associated with skin of salamanders (Plethodon jordani) and free-living assemblages","volume":"88","author":[{"family":"Fitzpatrick","given":"Benjamin M."},{"family":"Allison","given":"Amanda L."}],"issued":{"date-parts":[["2014",6,1]]}}},{"id":456,"uris":["http://zotero.org/users/6401767/items/4JM2N6EW"],"itemData":{"id":456,"type":"article-journal","abstract":"Animal-associated microbiomes are integral to host health, yet key biotic and abiotic factors that shape host-associated microbial communities at the global scale remain poorly understood. We investigated global patterns in amphibian skin bacterial communities, incorporating samples from 2,349 individuals representing 205 amphibian species across a broad biogeographic range. We analysed how biotic and abiotic factors correlate with skin microbial communities using multiple statistical approaches. Global amphibian skin bacterial richness was consistently correlated with temperature-associated factors. We found more diverse skin microbiomes in environments with colder winters and less stable thermal conditions compared with environments with warm winters and less annual temperature variation. We used bioinformatically predicted bacterial growth rates, dormancy genes and antibiotic synthesis genes, as well as inferred bacterial thermal growth optima to propose mechanistic hypotheses that may explain the observed patterns. We conclude that temporal and spatial characteristics of the host’s macro-environment mediate microbial diversity.","container-title":"Nature Ecology &amp; Evolution","DOI":"10.1038/s41559-019-0798-1","ISSN":"2397-334X","issue":"3","language":"en","license":"2019 The Author(s), under exclusive licence to Springer Nature Limited","note":"number: 3\npublisher: Nature Publishing Group","page":"381-389","source":"www.nature.com","title":"Community richness of amphibian skin bacteria correlates with bioclimate at the global scale","volume":"3","author":[{"family":"Kueneman","given":"Jordan G."},{"family":"Bletz","given":"Molly C."},{"family":"McKenzie","given":"Valerie J."},{"family":"Becker","given":"C. Guilherme"},{"family":"Joseph","given":"Maxwell B."},{"family":"Abarca","given":"Juan G."},{"family":"Archer","given":"Holly"},{"family":"Arellano","given":"Ana Lisette"},{"family":"Bataille","given":"Arnaud"},{"family":"Becker","given":"Matthew"},{"family":"Belden","given":"Lisa K."},{"family":"Crottini","given":"Angelica"},{"family":"Geffers","given":"Robert"},{"family":"Haddad","given":"Célio F. B."},{"family":"Harris","given":"Reid N."},{"family":"Holden","given":"Whitney M."},{"family":"Hughey","given":"Myra"},{"family":"Jarek","given":"Michael"},{"family":"Kearns","given":"Patrick J."},{"family":"Kerby","given":"Jacob L."},{"family":"Kielgast","given":"Jos"},{"family":"Kurabayashi","given":"Atsushi"},{"family":"Longo","given":"Ana V."},{"family":"Loudon","given":"Andrew"},{"family":"Medina","given":"Daniel"},{"family":"Nuñez","given":"José J."},{"family":"Perl","given":"R. G. Bina"},{"family":"Pinto-Tomás","given":"Adrián"},{"family":"Rabemananjara","given":"Falitiana C. E."},{"family":"Rebollar","given":"Eria A."},{"family":"Rodríguez","given":"Ariel"},{"family":"Rollins-Smith","given":"Louise"},{"family":"Stevenson","given":"Robert"},{"family":"Tebbe","given":"Christoph C."},{"family":"Vargas Asensio","given":"Gabriel"},{"family":"Waldman","given":"Bruce"},{"family":"Walke","given":"Jenifer B."},{"family":"Whitfield","given":"Steven M."},{"family":"Zamudio","given":"Kelly R."},{"family":"Zúñiga Chaves","given":"Ibrahim"},{"family":"Woodhams","given":"Douglas C."},{"family":"Vences","given":"Miguel"}],"issued":{"date-parts":[["2019",3]]}}},{"id":124,"uris":["http://zotero.org/users/6401767/items/RBQSBPWM"],"itemData":{"id":124,"type":"article-journal","abstract":"Resident microbial communities living on amphibian skin can have significant effects on host health, yet the basic ecology of the host-microbiome relationship of many amphibian taxa is poorly understood. We characterized intraspecific variation in the skin microbiome of the salamander Ensatina eschscholtzii xanthoptica, a subspecies composed of four genetically distinct populations distributed throughout the San Francisco Bay Area and the Sierra Nevada mountains in California, USA. We found that salamanders from four geographically and genetically isolated populations harbor similar skin microbial communities, which are dominated by a common core set of bacterial taxa. Additionally, within a population, the skin microbiome does not appear to differ significantly between salamanders of different ages or sexes. In all cases, the salamander skin microbiomes were significantly different from those of the surrounding terrestrial environment. These results suggest that the relationship between E. e. xanthoptica salamanders and their resident skin microbiomes is conserved, possibly indicating a stable mutualism between the host and microbiome.","container-title":"Microbial Ecology","DOI":"10.1007/s00248-017-0986-y","ISSN":"1432-184X","issue":"3","journalAbbreviation":"Microb Ecol","language":"en","page":"745-756","source":"Springer Link","title":"Intraspecific Variation in the Skin-Associated Microbiome of a Terrestrial Salamander","volume":"74","author":[{"family":"Prado-Irwin","given":"Sofia R."},{"family":"Bird","given":"Alicia K."},{"family":"Zink","given":"Andrew G."},{"family":"Vredenburg","given":"Vance T."}],"issued":{"date-parts":[["2017",10,1]]}}}],"schema":"https://github.com/citation-style-language/schema/raw/master/csl-citation.json"} </w:instrText>
      </w:r>
      <w:r w:rsidRPr="00D67BE1">
        <w:rPr>
          <w:rFonts w:ascii="Times New Roman" w:hAnsi="Times New Roman" w:cs="Times New Roman"/>
        </w:rPr>
        <w:fldChar w:fldCharType="separate"/>
      </w:r>
      <w:r w:rsidR="004D2321">
        <w:rPr>
          <w:rFonts w:ascii="Times New Roman" w:hAnsi="Times New Roman" w:cs="Times New Roman"/>
          <w:noProof/>
        </w:rPr>
        <w:t>(Bird et al., 2018b; Fitzpatrick &amp; Allison, 2014; Kueneman et al., 2019; Prado-Irwin et al., 2017)</w:t>
      </w:r>
      <w:r w:rsidRPr="00D67BE1">
        <w:rPr>
          <w:rFonts w:ascii="Times New Roman" w:hAnsi="Times New Roman" w:cs="Times New Roman"/>
        </w:rPr>
        <w:fldChar w:fldCharType="end"/>
      </w:r>
      <w:r w:rsidRPr="00D67BE1">
        <w:rPr>
          <w:rFonts w:ascii="Times New Roman" w:hAnsi="Times New Roman" w:cs="Times New Roman"/>
        </w:rPr>
        <w:t xml:space="preserve">. Dissimilarity between amphibian hosts and environmental reservoirs could be a result of taxonomic replacement via host filtering mechanisms or community processes (priority effects, species interactions, or drift) </w:t>
      </w:r>
      <w:r w:rsidRPr="00D67BE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{"citationID":"VyjmC0N1","properties":{"formattedCitation":"(Whittaker, 1972)","plainCitation":"(Whittaker, 1972)","noteIndex":0},"citationItems":[{"id":218,"uris":["http://zotero.org/users/6401767/items/95K6JBXH"],"itemData":{"id":218,"type":"article-journal","abstract":"Given a resource gradient (e.g. light intensity, prey size) in a community, species evolve to use different parts of this gradient; competition between them is thereby reduced. Species relationships in the community may be conceived in terms of a multidimensional coordinate system, the axes of which are the various resource gradients (and other aspects of species relationships to space, time, and one another in the community). This coordinate system defines a hyperspace, and the range of the space that a given species occupies is its niche hypervolume, as an abstract characterization of its intra-community position, or niche. Species evolve toward difference in niche, and consequently toward difference in location of their hypervolumes in the niche hyperspace. Through evolutionary time additional species can fit into the community in niche hypervolumes different from those of other species, and the niche hyperspace can become increasingly complex. Its complexity relates to the community's richness in species, its alpha diversity. Species differ in the proportions of the niche hyperspace they are able to occupy and the share of the community's resources they utilize. The share of resources utilized is expressed in species' productivities, and when species are ranked by relative productivity (or some other measurement) from most to least important, importance-value or dominance-diversity curves are formed. Three types of curves may represent manners in which resources are divided among species: (a) niche pre-emption with strong dominance, expressed in a geometric series, (b) random boundaries between niches, expressed in the MacArthur distribution, and (c) determination of relative importance by many factors, so that species form a frequency distribution on a logarithmic base of importance values, a lognormal distribution. The forms of importance-value curves do not permit strong inference about resource division, but are of interest for their expression of species relationships and bearing on measurement of diversity.","container-title":"TAXON","DOI":"10.2307/1218190","ISSN":"1996-8175","issue":"2-3","language":"en","license":"© 1972 International Association for Plant Taxonomy (IAPT) all rights reserved","note":"_eprint: https://onlinelibrary.wiley.com/doi/pdf/10.2307/1218190","page":"213-251","source":"Wiley Online Library","title":"Evolution and Measurement of Species Diversity","volume":"21","author":[{"family":"Whittaker","given":"R. H."}],"issued":{"date-parts":[["1972"]]}},"label":"page"}],"schema":"https://github.com/citation-style-language/schema/raw/master/csl-citation.json"} </w:instrText>
      </w:r>
      <w:r w:rsidRPr="00D67BE1">
        <w:rPr>
          <w:rFonts w:ascii="Times New Roman" w:hAnsi="Times New Roman" w:cs="Times New Roman"/>
        </w:rPr>
        <w:fldChar w:fldCharType="separate"/>
      </w:r>
      <w:r w:rsidR="004D2321">
        <w:rPr>
          <w:rFonts w:ascii="Times New Roman" w:hAnsi="Times New Roman" w:cs="Times New Roman"/>
          <w:noProof/>
        </w:rPr>
        <w:t>(Whittaker, 1972)</w:t>
      </w:r>
      <w:r w:rsidRPr="00D67BE1">
        <w:rPr>
          <w:rFonts w:ascii="Times New Roman" w:hAnsi="Times New Roman" w:cs="Times New Roman"/>
        </w:rPr>
        <w:fldChar w:fldCharType="end"/>
      </w:r>
      <w:r w:rsidRPr="00D67BE1">
        <w:rPr>
          <w:rFonts w:ascii="Times New Roman" w:hAnsi="Times New Roman" w:cs="Times New Roman"/>
        </w:rPr>
        <w:t xml:space="preserve">. Alternatively, amphibian-associated communities are also typically less diverse than environmental reservoirs </w:t>
      </w:r>
      <w:r w:rsidR="000D1D5A">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{"citationID":"a2lt8ri13io","properties":{"formattedCitation":"(Jim\\uc0\\u233{}nez &amp; Sommer, 2016)","plainCitation":"(Jiménez &amp; Sommer, 2016)","noteIndex":0},"citationItems":[{"id":104,"uris":["http://zotero.org/users/6401767/items/AJ6K29MF"],"itemData":{"id":104,"type":"article-journal","container-title":"Biodiversity and Conservation","DOI":"10.1007/s10531-016-1272-x","issue":"4","journalAbbreviation":"Biodiversity and Conservation","page":"763-786","title":"The amphibian microbiome: natural range of variation, pathogenic dysbiosis, and role in conservation","volume":"26","author":[{"family":"Jiménez","given":"Randall R."},{"family":"Sommer","given":"Simone"}],"issued":{"date-parts":[["2016",12,9]]}}}],"schema":"https://github.com/citation-style-language/schema/raw/master/csl-citation.json"} </w:instrText>
      </w:r>
      <w:r w:rsidR="000D1D5A">
        <w:rPr>
          <w:rFonts w:ascii="Times New Roman" w:hAnsi="Times New Roman" w:cs="Times New Roman"/>
        </w:rPr>
        <w:fldChar w:fldCharType="separate"/>
      </w:r>
      <w:r w:rsidR="00CB244F" w:rsidRPr="00CB244F">
        <w:rPr>
          <w:rFonts w:ascii="Times New Roman" w:hAnsi="Times New Roman" w:cs="Times New Roman"/>
        </w:rPr>
        <w:t>(Jiménez &amp; Sommer, 2016)</w:t>
      </w:r>
      <w:r w:rsidR="000D1D5A">
        <w:rPr>
          <w:rFonts w:ascii="Times New Roman" w:hAnsi="Times New Roman" w:cs="Times New Roman"/>
        </w:rPr>
        <w:fldChar w:fldCharType="end"/>
      </w:r>
      <w:r w:rsidRPr="00D67BE1">
        <w:rPr>
          <w:rFonts w:ascii="Times New Roman" w:hAnsi="Times New Roman" w:cs="Times New Roman"/>
        </w:rPr>
        <w:t xml:space="preserve">. Because maximum similarity between two communities is limited by the less diverse sample </w:t>
      </w:r>
      <w:r w:rsidRPr="00D67BE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{"citationID":"s4CrlvS2","properties":{"formattedCitation":"(Chase et al., 2011)","plainCitation":"(Chase et al., 2011)","noteIndex":0},"citationItems":[{"id":518,"uris":["http://zotero.org/users/6401767/items/WZPS7QW4"],"itemData":{"id":518,"type":"article-journal","abstract":"β-diversity represents the compositional variation among communities from site-to-site, linking local (α-diversity) and regional (γ-diversity). Researchers often desire to compare values of β-diversity across localities or experimental treatments, and to use this comparison to infer possible mechanisms of community assembly. However, the majority of metrics used to estimate β-diversity, including most dissimilarity metrics (e.g., Jaccard's and Sørenson's dissimilarity index), can vary simply because of changes in the other two diversity components (α or γ-diversity). Here, we overview the utility of taking a null model approach that allows one to discern whether variation in the measured dissimilarity among communities results more from changes in the underlying structure by which communities vary, or instead simply due to difference in α-diversity among localities or experimental treatments. We illustrate one particular approach, originally developed by Raup and Crick (1979) in the paleontological literature, which creates a re-scaled probability metric ranging from −1 to 1, indicating whether local communities are more dissimilar (approaching 1), as dissimilar (approaching 0), or less dissimilar (approaching −1), than expected by random chance. The value of this metric provides some indication of the possible underlying mechanisms of community assembly, in particular the degree to which deterministic processes create communities that deviate from those based on stochastic (null) expectations. We demonstrate the utility of this metric when compared to analyses of Jaccard's dissimilarity index with case studies from disparate empirical systems (coral reefs and freshwater ponds) that differ in the degree to which disturbance altered α-diversity, as well as the selectivity by which disturbance acted on members of the community.","container-title":"Ecosphere","DOI":"https://doi.org/10.1890/ES10-00117.1","ISSN":"2150-8925","issue":"2","language":"en","note":"_eprint: https://esajournals.onlinelibrary.wiley.com/doi/pdf/10.1890/ES10-00117.1","page":"art24","source":"Wiley Online Library","title":"Using null models to disentangle variation in community dissimilarity from variation in α-diversity","volume":"2","author":[{"family":"Chase","given":"Jonathan M."},{"family":"Kraft","given":"Nathan J. B."},{"family":"Smith","given":"Kevin G."},{"family":"Vellend","given":"Mark"},{"family":"Inouye","given":"Brian D."}],"issued":{"date-parts":[["2011"]]}}}],"schema":"https://github.com/citation-style-language/schema/raw/master/csl-citation.json"} </w:instrText>
      </w:r>
      <w:r w:rsidRPr="00D67BE1">
        <w:rPr>
          <w:rFonts w:ascii="Times New Roman" w:hAnsi="Times New Roman" w:cs="Times New Roman"/>
        </w:rPr>
        <w:fldChar w:fldCharType="separate"/>
      </w:r>
      <w:r w:rsidR="004D2321">
        <w:rPr>
          <w:rFonts w:ascii="Times New Roman" w:hAnsi="Times New Roman" w:cs="Times New Roman"/>
          <w:noProof/>
        </w:rPr>
        <w:t>(Chase et al., 2011)</w:t>
      </w:r>
      <w:r w:rsidRPr="00D67BE1">
        <w:rPr>
          <w:rFonts w:ascii="Times New Roman" w:hAnsi="Times New Roman" w:cs="Times New Roman"/>
        </w:rPr>
        <w:fldChar w:fldCharType="end"/>
      </w:r>
      <w:r w:rsidRPr="00D67BE1">
        <w:rPr>
          <w:rFonts w:ascii="Times New Roman" w:hAnsi="Times New Roman" w:cs="Times New Roman"/>
        </w:rPr>
        <w:t xml:space="preserve">, richness differences contributing to </w:t>
      </w:r>
      <w:r w:rsidRPr="00D67BE1">
        <w:rPr>
          <w:rFonts w:ascii="Times New Roman" w:hAnsi="Times New Roman" w:cs="Times New Roman"/>
        </w:rPr>
        <w:sym w:font="Symbol" w:char="F062"/>
      </w:r>
      <w:r w:rsidRPr="00D67BE1">
        <w:rPr>
          <w:rFonts w:ascii="Times New Roman" w:hAnsi="Times New Roman" w:cs="Times New Roman"/>
        </w:rPr>
        <w:t xml:space="preserve"> diversity might lead to communities appearing ‘different’, but are in fact largely nested versions of a regional pool </w:t>
      </w:r>
      <w:r w:rsidRPr="00D67BE1">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{"citationID":"F4R9irmf","properties":{"formattedCitation":"(Podani &amp; Schmera, 2011)","plainCitation":"(Podani &amp; Schmera, 2011)","noteIndex":0},"citationItems":[{"id":136,"uris":["http://zotero.org/users/6401767/items/F9VMSCGE"],"itemData":{"id":136,"type":"article-journal","abstract":"A conceptual framework is proposed to evaluate the relative importance of beta diversity, nestedness and agreement in species richness in presence – absence data matrices via partitioning pairwise gamma diversity into additive components. This is achieved by calculating three complementary indices that measure similarity, relative species replacement, and relative richness difference for all pairs of sites, and by displaying the results in a two-dimensional simplex diagram, or ternary plot. By summing two terms at a time, three one-dimensional simplices are derived correspondig to different contrasts: beta diversity versus similarity, species replacement versus nestedness and, finally, richness difference versus richness agreement. The simplex diagrams can be used to interpret underlying data structures by showing departure from randomness towards well-interpretable directions, as demonstrated by artificial and actual examples. In particular, one may appreciate how far data structure deviates from three extreme model situations: perfect nestedness, anti-nestedness and perfect gradient. Throughout the paper, we pay special attention to the measurement and interpetation of beta diversity and nestedness for pairs of sites, because these concepts have been in focus of ecological reseach for decades. The novel method can be used in community ecology, conservation biology, and biogeography, whenever the objective is to recover explanatory ecological processes behind patterns conveyed by presence–absence data.","container-title":"Oikos","DOI":"10.1111/j.1600-0706.2011.19451.x","ISSN":"1600-0706","issue":"11","language":"en","note":"_eprint: https://onlinelibrary.wiley.com/doi/pdf/10.1111/j.1600-0706.2011.19451.x","page":"1625-1638","source":"Wiley Online Library","title":"A new conceptual and methodological framework for exploring and explaining pattern in presence – absence data","volume":"120","author":[{"family":"Podani","given":"János"},{"family":"Schmera","given":"Dénes"}],"issued":{"date-parts":[["2011"]]}}}],"schema":"https://github.com/citation-style-language/schema/raw/master/csl-citation.json"} </w:instrText>
      </w:r>
      <w:r w:rsidRPr="00D67BE1">
        <w:rPr>
          <w:rFonts w:ascii="Times New Roman" w:hAnsi="Times New Roman" w:cs="Times New Roman"/>
        </w:rPr>
        <w:fldChar w:fldCharType="separate"/>
      </w:r>
      <w:r w:rsidR="004D2321">
        <w:rPr>
          <w:rFonts w:ascii="Times New Roman" w:hAnsi="Times New Roman" w:cs="Times New Roman"/>
          <w:noProof/>
        </w:rPr>
        <w:t>(Podani &amp; Schmera, 2011)</w:t>
      </w:r>
      <w:r w:rsidRPr="00D67BE1">
        <w:rPr>
          <w:rFonts w:ascii="Times New Roman" w:hAnsi="Times New Roman" w:cs="Times New Roman"/>
        </w:rPr>
        <w:fldChar w:fldCharType="end"/>
      </w:r>
      <w:r w:rsidRPr="00D67BE1">
        <w:rPr>
          <w:rFonts w:ascii="Times New Roman" w:hAnsi="Times New Roman" w:cs="Times New Roman"/>
        </w:rPr>
        <w:t>. While this does not exclude potential fitness implications of host-associated microbes, it does limit the potential evolutionary interactions between host and symbionts.</w:t>
      </w:r>
    </w:p>
    <w:p w14:paraId="5677E2C8" w14:textId="77777777" w:rsidR="000B341F" w:rsidRDefault="00F64394" w:rsidP="004D2321">
      <w:pPr>
        <w:spacing w:line="360" w:lineRule="auto"/>
        <w:ind w:firstLine="720"/>
        <w:rPr>
          <w:rFonts w:ascii="Times New Roman" w:hAnsi="Times New Roman" w:cs="Times New Roman"/>
        </w:rPr>
      </w:pPr>
      <w:r w:rsidRPr="00D67BE1">
        <w:rPr>
          <w:rFonts w:ascii="Times New Roman" w:hAnsi="Times New Roman" w:cs="Times New Roman"/>
        </w:rPr>
        <w:t>Previously, we sampled plethodontid-associated communities along an aquatic-terrestrial interface in Southern Appalachian streams and found host-associated communities displayed subtle convergence for a small number of indicator taxa in otherwise divergent communities. While terrestrial and aquatic cover object communities showed strong ties to habitat, salamander-associated communities were more influenced by sampling location and host species. Importantly, statistically significant differentiation of host species was matched in communities found on cover objects pertaining to host species, indicating species specificity could be blurred by host microhabitat utilization. Furthermore, salamander-cover object comparisons were highly dissimilar, indicating a need to better understand the patterns of dissimilarity between hosts and environmental reservoirs as well as hosts and other hosts in the context of horizontal transmission, host filtering, and microbial interactions. In this study, we sought to address the relative strengths of random processes, environmental transmission, host filtering, and priority effects on the amphibian skin microbiome. For observational data alone, we can make the following predictions: a) Lower diversity on hosts, in tandem with strong host filtering should produce more similarities between host-associated communities than their respective cover objects (</w:t>
      </w:r>
      <w:r w:rsidRPr="00D67BE1">
        <w:rPr>
          <w:rFonts w:ascii="Times New Roman" w:hAnsi="Times New Roman" w:cs="Times New Roman"/>
          <w:b/>
          <w:bCs/>
        </w:rPr>
        <w:t xml:space="preserve">Fig. </w:t>
      </w:r>
      <w:r w:rsidR="00EE4B4B">
        <w:rPr>
          <w:rFonts w:ascii="Times New Roman" w:hAnsi="Times New Roman" w:cs="Times New Roman"/>
          <w:b/>
          <w:bCs/>
        </w:rPr>
        <w:t>7</w:t>
      </w:r>
      <w:r w:rsidRPr="00D67BE1">
        <w:rPr>
          <w:rFonts w:ascii="Times New Roman" w:hAnsi="Times New Roman" w:cs="Times New Roman"/>
        </w:rPr>
        <w:t xml:space="preserve">, panel 1); b) Priority effects, in combination with random dispersal events and the absence of strong host filtering, should produce more </w:t>
      </w:r>
      <w:proofErr w:type="gramStart"/>
      <w:r w:rsidRPr="00D67BE1">
        <w:rPr>
          <w:rFonts w:ascii="Times New Roman" w:hAnsi="Times New Roman" w:cs="Times New Roman"/>
        </w:rPr>
        <w:t>differences</w:t>
      </w:r>
      <w:proofErr w:type="gramEnd"/>
      <w:r w:rsidRPr="00D67BE1">
        <w:rPr>
          <w:rFonts w:ascii="Times New Roman" w:hAnsi="Times New Roman" w:cs="Times New Roman"/>
        </w:rPr>
        <w:t xml:space="preserve"> </w:t>
      </w:r>
    </w:p>
    <w:p w14:paraId="5BA8F538" w14:textId="1B6A69EF" w:rsidR="000B341F" w:rsidRDefault="000B341F">
      <w:pPr>
        <w:rPr>
          <w:rFonts w:ascii="Times New Roman" w:hAnsi="Times New Roman" w:cs="Times New Roman"/>
        </w:rPr>
      </w:pPr>
      <w:r>
        <w:rPr>
          <w:rFonts w:ascii="Times New Roman" w:hAnsi="Times New Roman" w:cs="Times New Roman"/>
        </w:rPr>
        <w:lastRenderedPageBreak/>
        <w:br w:type="page"/>
      </w:r>
      <w:r w:rsidRPr="00C425A3">
        <w:rPr>
          <w:rFonts w:ascii="Times" w:hAnsi="Times"/>
          <w:noProof/>
        </w:rPr>
        <w:drawing>
          <wp:anchor distT="0" distB="0" distL="114300" distR="114300" simplePos="0" relativeHeight="251808768" behindDoc="0" locked="0" layoutInCell="1" allowOverlap="1" wp14:anchorId="5C6EA46E" wp14:editId="1BA6E90E">
            <wp:simplePos x="0" y="0"/>
            <wp:positionH relativeFrom="column">
              <wp:posOffset>0</wp:posOffset>
            </wp:positionH>
            <wp:positionV relativeFrom="paragraph">
              <wp:posOffset>0</wp:posOffset>
            </wp:positionV>
            <wp:extent cx="5935980" cy="4154805"/>
            <wp:effectExtent l="0" t="0" r="0" b="0"/>
            <wp:wrapNone/>
            <wp:docPr id="4" name="Picture 3" descr="A diagram of a pool&#10;&#10;Description automatically generated">
              <a:extLst xmlns:a="http://schemas.openxmlformats.org/drawingml/2006/main">
                <a:ext uri="{FF2B5EF4-FFF2-40B4-BE49-F238E27FC236}">
                  <a16:creationId xmlns:a16="http://schemas.microsoft.com/office/drawing/2014/main" id="{54EADEFB-C956-2230-44CB-8BC3CDAE5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pool&#10;&#10;Description automatically generated">
                      <a:extLst>
                        <a:ext uri="{FF2B5EF4-FFF2-40B4-BE49-F238E27FC236}">
                          <a16:creationId xmlns:a16="http://schemas.microsoft.com/office/drawing/2014/main" id="{54EADEFB-C956-2230-44CB-8BC3CDAE55C7}"/>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5980" cy="415480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09792" behindDoc="0" locked="0" layoutInCell="1" allowOverlap="1" wp14:anchorId="6D47706F" wp14:editId="68B154EC">
                <wp:simplePos x="0" y="0"/>
                <wp:positionH relativeFrom="column">
                  <wp:posOffset>67310</wp:posOffset>
                </wp:positionH>
                <wp:positionV relativeFrom="paragraph">
                  <wp:posOffset>4267835</wp:posOffset>
                </wp:positionV>
                <wp:extent cx="5935980" cy="635"/>
                <wp:effectExtent l="0" t="0" r="0" b="12065"/>
                <wp:wrapNone/>
                <wp:docPr id="1366902602" name="Text Box 1"/>
                <wp:cNvGraphicFramePr/>
                <a:graphic xmlns:a="http://schemas.openxmlformats.org/drawingml/2006/main">
                  <a:graphicData uri="http://schemas.microsoft.com/office/word/2010/wordprocessingShape">
                    <wps:wsp>
                      <wps:cNvSpPr txBox="1"/>
                      <wps:spPr>
                        <a:xfrm>
                          <a:off x="0" y="0"/>
                          <a:ext cx="5935980" cy="635"/>
                        </a:xfrm>
                        <a:prstGeom prst="rect">
                          <a:avLst/>
                        </a:prstGeom>
                        <a:solidFill>
                          <a:prstClr val="white"/>
                        </a:solidFill>
                        <a:ln>
                          <a:noFill/>
                        </a:ln>
                      </wps:spPr>
                      <wps:txbx>
                        <w:txbxContent>
                          <w:p w14:paraId="435B2A16" w14:textId="75EFA658" w:rsidR="000B341F" w:rsidRPr="00491D83" w:rsidRDefault="000B341F" w:rsidP="000B341F">
                            <w:pPr>
                              <w:pStyle w:val="Caption"/>
                              <w:rPr>
                                <w:rFonts w:ascii="Times New Roman" w:hAnsi="Times New Roman" w:cs="Times New Roman"/>
                                <w:b w:val="0"/>
                                <w:bCs w:val="0"/>
                                <w:noProof/>
                              </w:rPr>
                            </w:pPr>
                            <w:bookmarkStart w:id="46" w:name="_Toc164888212"/>
                            <w:bookmarkStart w:id="47" w:name="_Toc164888264"/>
                            <w:bookmarkStart w:id="48" w:name="_Toc164888596"/>
                            <w:bookmarkStart w:id="49" w:name="_Toc164888692"/>
                            <w:bookmarkStart w:id="50" w:name="_Toc164888828"/>
                            <w:bookmarkStart w:id="51" w:name="_Toc165024864"/>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7</w:t>
                            </w:r>
                            <w:r w:rsidRPr="00491D83">
                              <w:rPr>
                                <w:rFonts w:ascii="Times New Roman" w:hAnsi="Times New Roman" w:cs="Times New Roman"/>
                                <w:b w:val="0"/>
                                <w:bCs w:val="0"/>
                              </w:rPr>
                              <w:fldChar w:fldCharType="end"/>
                            </w:r>
                            <w:r w:rsidRPr="00491D83">
                              <w:rPr>
                                <w:rFonts w:ascii="Times New Roman" w:hAnsi="Times New Roman" w:cs="Times New Roman"/>
                                <w:b w:val="0"/>
                                <w:bCs w:val="0"/>
                              </w:rPr>
                              <w:t>: Possible scenarios driving community (dis)similarity between two salamanders (S1 and S2) and their respective cover objects (C1 and C2).</w:t>
                            </w:r>
                            <w:bookmarkEnd w:id="46"/>
                            <w:bookmarkEnd w:id="47"/>
                            <w:bookmarkEnd w:id="48"/>
                            <w:bookmarkEnd w:id="49"/>
                            <w:bookmarkEnd w:id="50"/>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47706F" id="_x0000_s1032" type="#_x0000_t202" style="position:absolute;margin-left:5.3pt;margin-top:336.05pt;width:467.4pt;height:.05pt;z-index:25180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" stroked="f">
                <v:textbox style="mso-fit-shape-to-text:t" inset="0,0,0,0">
                  <w:txbxContent>
                    <w:p w14:paraId="435B2A16" w14:textId="75EFA658" w:rsidR="000B341F" w:rsidRPr="00491D83" w:rsidRDefault="000B341F" w:rsidP="000B341F">
                      <w:pPr>
                        <w:pStyle w:val="Caption"/>
                        <w:rPr>
                          <w:rFonts w:ascii="Times New Roman" w:hAnsi="Times New Roman" w:cs="Times New Roman"/>
                          <w:b w:val="0"/>
                          <w:bCs w:val="0"/>
                          <w:noProof/>
                        </w:rPr>
                      </w:pPr>
                      <w:bookmarkStart w:id="52" w:name="_Toc164888212"/>
                      <w:bookmarkStart w:id="53" w:name="_Toc164888264"/>
                      <w:bookmarkStart w:id="54" w:name="_Toc164888596"/>
                      <w:bookmarkStart w:id="55" w:name="_Toc164888692"/>
                      <w:bookmarkStart w:id="56" w:name="_Toc164888828"/>
                      <w:bookmarkStart w:id="57" w:name="_Toc165024864"/>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7</w:t>
                      </w:r>
                      <w:r w:rsidRPr="00491D83">
                        <w:rPr>
                          <w:rFonts w:ascii="Times New Roman" w:hAnsi="Times New Roman" w:cs="Times New Roman"/>
                          <w:b w:val="0"/>
                          <w:bCs w:val="0"/>
                        </w:rPr>
                        <w:fldChar w:fldCharType="end"/>
                      </w:r>
                      <w:r w:rsidRPr="00491D83">
                        <w:rPr>
                          <w:rFonts w:ascii="Times New Roman" w:hAnsi="Times New Roman" w:cs="Times New Roman"/>
                          <w:b w:val="0"/>
                          <w:bCs w:val="0"/>
                        </w:rPr>
                        <w:t>: Possible scenarios driving community (dis)similarity between two salamanders (S1 and S2) and their respective cover objects (C1 and C2).</w:t>
                      </w:r>
                      <w:bookmarkEnd w:id="52"/>
                      <w:bookmarkEnd w:id="53"/>
                      <w:bookmarkEnd w:id="54"/>
                      <w:bookmarkEnd w:id="55"/>
                      <w:bookmarkEnd w:id="56"/>
                      <w:bookmarkEnd w:id="57"/>
                    </w:p>
                  </w:txbxContent>
                </v:textbox>
              </v:shape>
            </w:pict>
          </mc:Fallback>
        </mc:AlternateContent>
      </w:r>
    </w:p>
    <w:p w14:paraId="6C146507" w14:textId="5043FF60" w:rsidR="004F52A8" w:rsidRDefault="004F52A8" w:rsidP="000B341F">
      <w:pPr>
        <w:spacing w:line="360" w:lineRule="auto"/>
        <w:rPr>
          <w:rFonts w:ascii="Times New Roman" w:hAnsi="Times New Roman" w:cs="Times New Roman"/>
        </w:rPr>
      </w:pPr>
      <w:r w:rsidRPr="00D67BE1">
        <w:rPr>
          <w:rFonts w:ascii="Times New Roman" w:hAnsi="Times New Roman" w:cs="Times New Roman"/>
        </w:rPr>
        <w:lastRenderedPageBreak/>
        <w:t>between hosts than their immediate cover object (</w:t>
      </w:r>
      <w:r w:rsidRPr="00D67BE1">
        <w:rPr>
          <w:rFonts w:ascii="Times New Roman" w:hAnsi="Times New Roman" w:cs="Times New Roman"/>
          <w:b/>
          <w:bCs/>
        </w:rPr>
        <w:t xml:space="preserve">Fig. </w:t>
      </w:r>
      <w:r w:rsidR="00EE4B4B">
        <w:rPr>
          <w:rFonts w:ascii="Times New Roman" w:hAnsi="Times New Roman" w:cs="Times New Roman"/>
          <w:b/>
          <w:bCs/>
        </w:rPr>
        <w:t>7</w:t>
      </w:r>
      <w:r w:rsidRPr="00D67BE1">
        <w:rPr>
          <w:rFonts w:ascii="Times New Roman" w:hAnsi="Times New Roman" w:cs="Times New Roman"/>
        </w:rPr>
        <w:t xml:space="preserve">, panel 2); </w:t>
      </w:r>
      <w:r w:rsidR="00C4247F">
        <w:rPr>
          <w:rFonts w:ascii="Times New Roman" w:hAnsi="Times New Roman" w:cs="Times New Roman"/>
        </w:rPr>
        <w:t>c</w:t>
      </w:r>
      <w:r w:rsidRPr="00D67BE1">
        <w:rPr>
          <w:rFonts w:ascii="Times New Roman" w:hAnsi="Times New Roman" w:cs="Times New Roman"/>
        </w:rPr>
        <w:t>) Random chance should produce communities with incoherent patterns of similarity and differentiation, consistent with neutral or random assembly (</w:t>
      </w:r>
      <w:r w:rsidRPr="00D67BE1">
        <w:rPr>
          <w:rFonts w:ascii="Times New Roman" w:hAnsi="Times New Roman" w:cs="Times New Roman"/>
          <w:b/>
          <w:bCs/>
        </w:rPr>
        <w:t xml:space="preserve">Fig. </w:t>
      </w:r>
      <w:r w:rsidR="00EE4B4B">
        <w:rPr>
          <w:rFonts w:ascii="Times New Roman" w:hAnsi="Times New Roman" w:cs="Times New Roman"/>
          <w:b/>
          <w:bCs/>
        </w:rPr>
        <w:t>7</w:t>
      </w:r>
      <w:r w:rsidRPr="00D67BE1">
        <w:rPr>
          <w:rFonts w:ascii="Times New Roman" w:hAnsi="Times New Roman" w:cs="Times New Roman"/>
        </w:rPr>
        <w:t xml:space="preserve">, panel 3). The host species focused on for this study were sympatric plethodontid species </w:t>
      </w:r>
      <w:r w:rsidRPr="00D67BE1">
        <w:rPr>
          <w:rFonts w:ascii="Times New Roman" w:hAnsi="Times New Roman" w:cs="Times New Roman"/>
          <w:i/>
          <w:iCs/>
        </w:rPr>
        <w:t xml:space="preserve">Eurycea </w:t>
      </w:r>
      <w:r w:rsidRPr="00D67BE1">
        <w:rPr>
          <w:rFonts w:ascii="Times New Roman" w:hAnsi="Times New Roman" w:cs="Times New Roman"/>
        </w:rPr>
        <w:t>cf</w:t>
      </w:r>
      <w:r w:rsidRPr="00D67BE1">
        <w:rPr>
          <w:rFonts w:ascii="Times New Roman" w:hAnsi="Times New Roman" w:cs="Times New Roman"/>
          <w:i/>
          <w:iCs/>
        </w:rPr>
        <w:t xml:space="preserve">. </w:t>
      </w:r>
      <w:proofErr w:type="spellStart"/>
      <w:r w:rsidRPr="00D67BE1">
        <w:rPr>
          <w:rFonts w:ascii="Times New Roman" w:hAnsi="Times New Roman" w:cs="Times New Roman"/>
          <w:i/>
          <w:iCs/>
        </w:rPr>
        <w:t>wilderae</w:t>
      </w:r>
      <w:proofErr w:type="spellEnd"/>
      <w:r w:rsidRPr="00D67BE1">
        <w:rPr>
          <w:rFonts w:ascii="Times New Roman" w:hAnsi="Times New Roman" w:cs="Times New Roman"/>
          <w:i/>
          <w:iCs/>
        </w:rPr>
        <w:t xml:space="preserve">, </w:t>
      </w:r>
      <w:proofErr w:type="spellStart"/>
      <w:r w:rsidRPr="00D67BE1">
        <w:rPr>
          <w:rFonts w:ascii="Times New Roman" w:hAnsi="Times New Roman" w:cs="Times New Roman"/>
          <w:i/>
          <w:iCs/>
        </w:rPr>
        <w:t>Desmognathus</w:t>
      </w:r>
      <w:proofErr w:type="spellEnd"/>
      <w:r w:rsidRPr="00D67BE1">
        <w:rPr>
          <w:rFonts w:ascii="Times New Roman" w:hAnsi="Times New Roman" w:cs="Times New Roman"/>
          <w:i/>
          <w:iCs/>
        </w:rPr>
        <w:t xml:space="preserve"> </w:t>
      </w:r>
      <w:proofErr w:type="spellStart"/>
      <w:r w:rsidRPr="00D67BE1">
        <w:rPr>
          <w:rFonts w:ascii="Times New Roman" w:hAnsi="Times New Roman" w:cs="Times New Roman"/>
          <w:i/>
          <w:iCs/>
        </w:rPr>
        <w:t>monticola</w:t>
      </w:r>
      <w:proofErr w:type="spellEnd"/>
      <w:r w:rsidRPr="00D67BE1">
        <w:rPr>
          <w:rFonts w:ascii="Times New Roman" w:hAnsi="Times New Roman" w:cs="Times New Roman"/>
          <w:i/>
          <w:iCs/>
        </w:rPr>
        <w:t xml:space="preserve">, </w:t>
      </w:r>
      <w:proofErr w:type="spellStart"/>
      <w:r w:rsidRPr="00D67BE1">
        <w:rPr>
          <w:rFonts w:ascii="Times New Roman" w:hAnsi="Times New Roman" w:cs="Times New Roman"/>
          <w:i/>
          <w:iCs/>
        </w:rPr>
        <w:t>Desmognathus</w:t>
      </w:r>
      <w:proofErr w:type="spellEnd"/>
      <w:r w:rsidRPr="00D67BE1">
        <w:rPr>
          <w:rFonts w:ascii="Times New Roman" w:hAnsi="Times New Roman" w:cs="Times New Roman"/>
          <w:i/>
          <w:iCs/>
        </w:rPr>
        <w:t xml:space="preserve"> </w:t>
      </w:r>
      <w:proofErr w:type="spellStart"/>
      <w:r w:rsidRPr="00D67BE1">
        <w:rPr>
          <w:rFonts w:ascii="Times New Roman" w:hAnsi="Times New Roman" w:cs="Times New Roman"/>
          <w:i/>
          <w:iCs/>
        </w:rPr>
        <w:t>conanti</w:t>
      </w:r>
      <w:proofErr w:type="spellEnd"/>
      <w:r w:rsidRPr="00D67BE1">
        <w:rPr>
          <w:rFonts w:ascii="Times New Roman" w:hAnsi="Times New Roman" w:cs="Times New Roman"/>
          <w:i/>
          <w:iCs/>
        </w:rPr>
        <w:t xml:space="preserve">, </w:t>
      </w:r>
      <w:r w:rsidRPr="00D67BE1">
        <w:rPr>
          <w:rFonts w:ascii="Times New Roman" w:hAnsi="Times New Roman" w:cs="Times New Roman"/>
        </w:rPr>
        <w:t>and</w:t>
      </w:r>
      <w:r w:rsidRPr="00D67BE1">
        <w:rPr>
          <w:rFonts w:ascii="Times New Roman" w:hAnsi="Times New Roman" w:cs="Times New Roman"/>
          <w:i/>
          <w:iCs/>
        </w:rPr>
        <w:t xml:space="preserve"> </w:t>
      </w:r>
      <w:proofErr w:type="spellStart"/>
      <w:r w:rsidRPr="00D67BE1">
        <w:rPr>
          <w:rFonts w:ascii="Times New Roman" w:hAnsi="Times New Roman" w:cs="Times New Roman"/>
          <w:i/>
          <w:iCs/>
        </w:rPr>
        <w:t>Desmognathus</w:t>
      </w:r>
      <w:proofErr w:type="spellEnd"/>
      <w:r w:rsidRPr="00D67BE1">
        <w:rPr>
          <w:rFonts w:ascii="Times New Roman" w:hAnsi="Times New Roman" w:cs="Times New Roman"/>
          <w:i/>
          <w:iCs/>
        </w:rPr>
        <w:t xml:space="preserve"> </w:t>
      </w:r>
      <w:proofErr w:type="spellStart"/>
      <w:r w:rsidRPr="00D67BE1">
        <w:rPr>
          <w:rFonts w:ascii="Times New Roman" w:hAnsi="Times New Roman" w:cs="Times New Roman"/>
          <w:i/>
          <w:iCs/>
        </w:rPr>
        <w:t>gvnigeusgwotli</w:t>
      </w:r>
      <w:proofErr w:type="spellEnd"/>
      <w:r w:rsidRPr="00D67BE1">
        <w:rPr>
          <w:rFonts w:ascii="Times New Roman" w:hAnsi="Times New Roman" w:cs="Times New Roman"/>
        </w:rPr>
        <w:t>, which partake in niche partitioning along aquatic and riparian habitats during summer months in low-order streams and are thus exposed to slightly different microbial species pools in a small area.</w:t>
      </w:r>
    </w:p>
    <w:p w14:paraId="5CD3D059" w14:textId="3D5F6236" w:rsidR="00D53BC3" w:rsidRPr="00DF7C87" w:rsidRDefault="00D53BC3" w:rsidP="00D53BC3">
      <w:pPr>
        <w:pStyle w:val="Heading2"/>
        <w:rPr>
          <w:rFonts w:ascii="Times New Roman" w:hAnsi="Times New Roman" w:cs="Times New Roman"/>
          <w:szCs w:val="24"/>
        </w:rPr>
      </w:pPr>
      <w:bookmarkStart w:id="58" w:name="_Toc165028064"/>
      <w:r>
        <w:rPr>
          <w:rFonts w:ascii="Times New Roman" w:hAnsi="Times New Roman" w:cs="Times New Roman"/>
          <w:szCs w:val="24"/>
        </w:rPr>
        <w:t>Materials and Methods</w:t>
      </w:r>
      <w:bookmarkEnd w:id="58"/>
    </w:p>
    <w:p w14:paraId="44ECDA8C" w14:textId="6A16C067" w:rsidR="00D53BC3" w:rsidRPr="00491D83" w:rsidRDefault="00D53BC3" w:rsidP="00566BB0">
      <w:pPr>
        <w:pStyle w:val="Heading3"/>
        <w:spacing w:line="360" w:lineRule="auto"/>
        <w:rPr>
          <w:rFonts w:ascii="Times New Roman" w:hAnsi="Times New Roman" w:cs="Times New Roman"/>
          <w:b w:val="0"/>
          <w:bCs w:val="0"/>
          <w:szCs w:val="24"/>
        </w:rPr>
      </w:pPr>
      <w:bookmarkStart w:id="59" w:name="_Toc165028065"/>
      <w:r w:rsidRPr="00491D83">
        <w:rPr>
          <w:rFonts w:ascii="Times New Roman" w:hAnsi="Times New Roman" w:cs="Times New Roman"/>
          <w:b w:val="0"/>
          <w:bCs w:val="0"/>
          <w:szCs w:val="24"/>
        </w:rPr>
        <w:t xml:space="preserve">Sample </w:t>
      </w:r>
      <w:proofErr w:type="gramStart"/>
      <w:r w:rsidR="008A6662" w:rsidRPr="00491D83">
        <w:rPr>
          <w:rFonts w:ascii="Times New Roman" w:hAnsi="Times New Roman" w:cs="Times New Roman"/>
          <w:b w:val="0"/>
          <w:bCs w:val="0"/>
          <w:szCs w:val="24"/>
        </w:rPr>
        <w:t>c</w:t>
      </w:r>
      <w:r w:rsidRPr="00491D83">
        <w:rPr>
          <w:rFonts w:ascii="Times New Roman" w:hAnsi="Times New Roman" w:cs="Times New Roman"/>
          <w:b w:val="0"/>
          <w:bCs w:val="0"/>
          <w:szCs w:val="24"/>
        </w:rPr>
        <w:t>ollection</w:t>
      </w:r>
      <w:bookmarkEnd w:id="59"/>
      <w:proofErr w:type="gramEnd"/>
    </w:p>
    <w:p w14:paraId="01234D2D" w14:textId="7F6D932A" w:rsidR="00C70566" w:rsidRPr="00D75A98" w:rsidRDefault="00D53BC3" w:rsidP="00C70566">
      <w:pPr>
        <w:spacing w:line="360" w:lineRule="auto"/>
        <w:ind w:firstLine="720"/>
        <w:rPr>
          <w:rFonts w:ascii="Times New Roman" w:hAnsi="Times New Roman" w:cs="Times New Roman"/>
        </w:rPr>
      </w:pPr>
      <w:r w:rsidRPr="00D75A98">
        <w:rPr>
          <w:rFonts w:ascii="Times New Roman" w:hAnsi="Times New Roman" w:cs="Times New Roman"/>
        </w:rPr>
        <w:t xml:space="preserve">Four sites were sampled in Great Smoky Mountain National Park in low-order streams below 800m during the Summer of 2019. We focused on differences within a single </w:t>
      </w:r>
      <w:proofErr w:type="gramStart"/>
      <w:r w:rsidRPr="00D75A98">
        <w:rPr>
          <w:rFonts w:ascii="Times New Roman" w:hAnsi="Times New Roman" w:cs="Times New Roman"/>
        </w:rPr>
        <w:t>habitat,</w:t>
      </w:r>
      <w:proofErr w:type="gramEnd"/>
      <w:r w:rsidRPr="00D75A98">
        <w:rPr>
          <w:rFonts w:ascii="Times New Roman" w:hAnsi="Times New Roman" w:cs="Times New Roman"/>
        </w:rPr>
        <w:t xml:space="preserve"> thus sampling was done focusing on either aquatic or terrestrial habitats, with two replicates of each. Between five and eight salamanders of two species were captured wearing new nitrile gloves and placed in clean Ziplock bags. Salamanders were handled and swabbed as described previously. The cover object under which the salamander was found was also swabbed in the same manner. All salamanders were released where captured. Samples were stored in sterile 1.5ml centrifuge tubes in the field and kept </w:t>
      </w:r>
      <w:r>
        <w:rPr>
          <w:rFonts w:ascii="Times" w:hAnsi="Times"/>
        </w:rPr>
        <w:t>on dry ice before storage at -80°C</w:t>
      </w:r>
      <w:r w:rsidR="00C70566">
        <w:rPr>
          <w:rFonts w:ascii="Times" w:hAnsi="Times"/>
        </w:rPr>
        <w:t xml:space="preserve"> </w:t>
      </w:r>
      <w:r w:rsidR="00C70566" w:rsidRPr="00D75A98">
        <w:rPr>
          <w:rFonts w:ascii="Times New Roman" w:hAnsi="Times New Roman" w:cs="Times New Roman"/>
        </w:rPr>
        <w:t xml:space="preserve">at the University of Tennessee, Knoxville. </w:t>
      </w:r>
      <w:r w:rsidR="00C70566" w:rsidRPr="00D75A98">
        <w:rPr>
          <w:rFonts w:ascii="Times New Roman" w:hAnsi="Times New Roman" w:cs="Times New Roman"/>
          <w:b/>
          <w:bCs/>
        </w:rPr>
        <w:t>Table 3</w:t>
      </w:r>
      <w:r w:rsidR="00C70566" w:rsidRPr="00D75A98">
        <w:rPr>
          <w:rFonts w:ascii="Times New Roman" w:hAnsi="Times New Roman" w:cs="Times New Roman"/>
        </w:rPr>
        <w:t xml:space="preserve"> lists the species, numbers, and habitat distribution at each Site used for analyses.</w:t>
      </w:r>
    </w:p>
    <w:p w14:paraId="425474F0" w14:textId="376C9AA5" w:rsidR="00C70566" w:rsidRPr="00491D83" w:rsidRDefault="00C70566" w:rsidP="00C70566">
      <w:pPr>
        <w:pStyle w:val="Heading3"/>
        <w:spacing w:line="360" w:lineRule="auto"/>
        <w:rPr>
          <w:rFonts w:ascii="Times New Roman" w:hAnsi="Times New Roman" w:cs="Times New Roman"/>
          <w:b w:val="0"/>
          <w:bCs w:val="0"/>
          <w:szCs w:val="24"/>
        </w:rPr>
      </w:pPr>
      <w:bookmarkStart w:id="60" w:name="_Toc165028066"/>
      <w:r w:rsidRPr="00491D83">
        <w:rPr>
          <w:rFonts w:ascii="Times New Roman" w:hAnsi="Times New Roman" w:cs="Times New Roman"/>
          <w:b w:val="0"/>
          <w:bCs w:val="0"/>
          <w:szCs w:val="24"/>
        </w:rPr>
        <w:t xml:space="preserve">Library </w:t>
      </w:r>
      <w:r w:rsidR="008A6662" w:rsidRPr="00491D83">
        <w:rPr>
          <w:rFonts w:ascii="Times New Roman" w:hAnsi="Times New Roman" w:cs="Times New Roman"/>
          <w:b w:val="0"/>
          <w:bCs w:val="0"/>
          <w:szCs w:val="24"/>
        </w:rPr>
        <w:t>p</w:t>
      </w:r>
      <w:r w:rsidRPr="00491D83">
        <w:rPr>
          <w:rFonts w:ascii="Times New Roman" w:hAnsi="Times New Roman" w:cs="Times New Roman"/>
          <w:b w:val="0"/>
          <w:bCs w:val="0"/>
          <w:szCs w:val="24"/>
        </w:rPr>
        <w:t xml:space="preserve">reparation, </w:t>
      </w:r>
      <w:r w:rsidR="008A6662" w:rsidRPr="00491D83">
        <w:rPr>
          <w:rFonts w:ascii="Times New Roman" w:hAnsi="Times New Roman" w:cs="Times New Roman"/>
          <w:b w:val="0"/>
          <w:bCs w:val="0"/>
          <w:szCs w:val="24"/>
        </w:rPr>
        <w:t>s</w:t>
      </w:r>
      <w:r w:rsidRPr="00491D83">
        <w:rPr>
          <w:rFonts w:ascii="Times New Roman" w:hAnsi="Times New Roman" w:cs="Times New Roman"/>
          <w:b w:val="0"/>
          <w:bCs w:val="0"/>
          <w:szCs w:val="24"/>
        </w:rPr>
        <w:t xml:space="preserve">equencing, and </w:t>
      </w:r>
      <w:r w:rsidR="008A6662" w:rsidRPr="00491D83">
        <w:rPr>
          <w:rFonts w:ascii="Times New Roman" w:hAnsi="Times New Roman" w:cs="Times New Roman"/>
          <w:b w:val="0"/>
          <w:bCs w:val="0"/>
          <w:szCs w:val="24"/>
        </w:rPr>
        <w:t>b</w:t>
      </w:r>
      <w:r w:rsidRPr="00491D83">
        <w:rPr>
          <w:rFonts w:ascii="Times New Roman" w:hAnsi="Times New Roman" w:cs="Times New Roman"/>
          <w:b w:val="0"/>
          <w:bCs w:val="0"/>
          <w:szCs w:val="24"/>
        </w:rPr>
        <w:t>ioinformatics</w:t>
      </w:r>
      <w:bookmarkEnd w:id="60"/>
    </w:p>
    <w:p w14:paraId="41400720" w14:textId="740A1F2E" w:rsidR="004D2321" w:rsidRDefault="00C70566" w:rsidP="000B341F">
      <w:pPr>
        <w:spacing w:line="360" w:lineRule="auto"/>
        <w:ind w:firstLine="720"/>
        <w:rPr>
          <w:rFonts w:ascii="Times New Roman" w:hAnsi="Times New Roman" w:cs="Times New Roman"/>
        </w:rPr>
      </w:pPr>
      <w:r w:rsidRPr="00D75A98">
        <w:rPr>
          <w:rFonts w:ascii="Times New Roman" w:hAnsi="Times New Roman" w:cs="Times New Roman"/>
        </w:rPr>
        <w:t xml:space="preserve">DNA was extracted from the swabs using </w:t>
      </w:r>
      <w:r w:rsidR="00DA0249">
        <w:rPr>
          <w:rFonts w:ascii="Times New Roman" w:hAnsi="Times New Roman" w:cs="Times New Roman"/>
        </w:rPr>
        <w:t xml:space="preserve">Qiagen </w:t>
      </w:r>
      <w:proofErr w:type="spellStart"/>
      <w:r w:rsidRPr="00D75A98">
        <w:rPr>
          <w:rFonts w:ascii="Times New Roman" w:hAnsi="Times New Roman" w:cs="Times New Roman"/>
        </w:rPr>
        <w:t>DNEasy</w:t>
      </w:r>
      <w:proofErr w:type="spellEnd"/>
      <w:r w:rsidRPr="00D75A98">
        <w:rPr>
          <w:rFonts w:ascii="Times New Roman" w:hAnsi="Times New Roman" w:cs="Times New Roman"/>
        </w:rPr>
        <w:t xml:space="preserve"> </w:t>
      </w:r>
      <w:proofErr w:type="spellStart"/>
      <w:r w:rsidRPr="00D75A98">
        <w:rPr>
          <w:rFonts w:ascii="Times New Roman" w:hAnsi="Times New Roman" w:cs="Times New Roman"/>
        </w:rPr>
        <w:t>PowerSoil</w:t>
      </w:r>
      <w:proofErr w:type="spellEnd"/>
      <w:r w:rsidRPr="00D75A98">
        <w:rPr>
          <w:rFonts w:ascii="Times New Roman" w:hAnsi="Times New Roman" w:cs="Times New Roman"/>
        </w:rPr>
        <w:t xml:space="preserve"> Kit, following the manufacturer’s protocol, with the addition of a five-minute incubation step before spin column elution. The V3-V4 region of the 16S Ribosomal RNA gene was amplified using 341F-785R primers in triplicate. Polymerase chain reactions (PCR) consisted of 6.25µl of </w:t>
      </w:r>
      <w:proofErr w:type="spellStart"/>
      <w:r w:rsidRPr="00D75A98">
        <w:rPr>
          <w:rFonts w:ascii="Times New Roman" w:hAnsi="Times New Roman" w:cs="Times New Roman"/>
        </w:rPr>
        <w:t>KapaTaq</w:t>
      </w:r>
      <w:proofErr w:type="spellEnd"/>
      <w:r w:rsidRPr="00D75A98">
        <w:rPr>
          <w:rFonts w:ascii="Times New Roman" w:hAnsi="Times New Roman" w:cs="Times New Roman"/>
        </w:rPr>
        <w:t xml:space="preserve"> </w:t>
      </w:r>
      <w:proofErr w:type="spellStart"/>
      <w:r w:rsidR="00207B9D" w:rsidRPr="00D75A98">
        <w:rPr>
          <w:rFonts w:ascii="Times New Roman" w:hAnsi="Times New Roman" w:cs="Times New Roman"/>
        </w:rPr>
        <w:t>Mastermix</w:t>
      </w:r>
      <w:proofErr w:type="spellEnd"/>
      <w:r w:rsidR="00207B9D" w:rsidRPr="00D75A98">
        <w:rPr>
          <w:rFonts w:ascii="Times New Roman" w:hAnsi="Times New Roman" w:cs="Times New Roman"/>
        </w:rPr>
        <w:t>, 2.5µl of forward primer (10</w:t>
      </w:r>
      <w:r w:rsidR="00207B9D" w:rsidRPr="00D75A98">
        <w:rPr>
          <w:rFonts w:ascii="Times New Roman" w:hAnsi="Times New Roman" w:cs="Times New Roman"/>
        </w:rPr>
        <w:sym w:font="Symbol" w:char="F06D"/>
      </w:r>
      <w:r w:rsidR="00207B9D" w:rsidRPr="00D75A98">
        <w:rPr>
          <w:rFonts w:ascii="Times New Roman" w:hAnsi="Times New Roman" w:cs="Times New Roman"/>
        </w:rPr>
        <w:t>M), 2.5µl of reverse primer (10</w:t>
      </w:r>
      <w:r w:rsidR="00207B9D" w:rsidRPr="00D75A98">
        <w:rPr>
          <w:rFonts w:ascii="Times New Roman" w:hAnsi="Times New Roman" w:cs="Times New Roman"/>
        </w:rPr>
        <w:sym w:font="Symbol" w:char="F06D"/>
      </w:r>
      <w:r w:rsidR="00207B9D" w:rsidRPr="00D75A98">
        <w:rPr>
          <w:rFonts w:ascii="Times New Roman" w:hAnsi="Times New Roman" w:cs="Times New Roman"/>
        </w:rPr>
        <w:t>M), and 2.5µl of template DNA. PCR cycles were as follows: 95 °C for 3 minutes, followed by 35 cycles of 95 °C</w:t>
      </w:r>
      <w:r w:rsidR="00207B9D">
        <w:rPr>
          <w:rFonts w:ascii="Times New Roman" w:hAnsi="Times New Roman" w:cs="Times New Roman"/>
        </w:rPr>
        <w:t xml:space="preserve">. </w:t>
      </w:r>
      <w:r w:rsidR="00207B9D" w:rsidRPr="00D75A98">
        <w:rPr>
          <w:rFonts w:ascii="Times New Roman" w:hAnsi="Times New Roman" w:cs="Times New Roman"/>
        </w:rPr>
        <w:t>(30s), 55 °C (30s), and 72 °C (30s), with a final five-minute elongation at 72 °C.</w:t>
      </w:r>
      <w:r w:rsidR="00207B9D">
        <w:rPr>
          <w:rFonts w:ascii="Times New Roman" w:hAnsi="Times New Roman" w:cs="Times New Roman"/>
        </w:rPr>
        <w:t xml:space="preserve"> Amplification was verified o</w:t>
      </w:r>
      <w:r w:rsidR="00207B9D" w:rsidRPr="00D75A98">
        <w:rPr>
          <w:rFonts w:ascii="Times New Roman" w:hAnsi="Times New Roman" w:cs="Times New Roman"/>
        </w:rPr>
        <w:t>n a 1% agarose gel and amplified triplicates were pooled and</w:t>
      </w:r>
      <w:r w:rsidR="004D2321">
        <w:rPr>
          <w:rFonts w:ascii="Times New Roman" w:hAnsi="Times New Roman" w:cs="Times New Roman"/>
        </w:rPr>
        <w:br w:type="page"/>
      </w:r>
    </w:p>
    <w:tbl>
      <w:tblPr>
        <w:tblStyle w:val="PlainTable1"/>
        <w:tblpPr w:leftFromText="180" w:rightFromText="180" w:vertAnchor="text" w:horzAnchor="margin" w:tblpY="568"/>
        <w:tblW w:w="8541" w:type="dxa"/>
        <w:tblLook w:val="04A0" w:firstRow="1" w:lastRow="0" w:firstColumn="1" w:lastColumn="0" w:noHBand="0" w:noVBand="1"/>
      </w:tblPr>
      <w:tblGrid>
        <w:gridCol w:w="1300"/>
        <w:gridCol w:w="3825"/>
        <w:gridCol w:w="1266"/>
        <w:gridCol w:w="2150"/>
      </w:tblGrid>
      <w:tr w:rsidR="005F2D6C" w:rsidRPr="008949DA" w14:paraId="4D79D0A2" w14:textId="77777777" w:rsidTr="003D58F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8326E60" w14:textId="77777777" w:rsidR="005F2D6C" w:rsidRPr="008949DA" w:rsidRDefault="005F2D6C" w:rsidP="005F2D6C">
            <w:pPr>
              <w:jc w:val="center"/>
              <w:rPr>
                <w:rFonts w:ascii="Times New Roman" w:eastAsia="Times New Roman" w:hAnsi="Times New Roman" w:cs="Times New Roman"/>
                <w:b w:val="0"/>
                <w:bCs w:val="0"/>
                <w:color w:val="000000"/>
              </w:rPr>
            </w:pPr>
            <w:r w:rsidRPr="008949DA">
              <w:rPr>
                <w:rFonts w:ascii="Times New Roman" w:eastAsia="Times New Roman" w:hAnsi="Times New Roman" w:cs="Times New Roman"/>
                <w:color w:val="000000"/>
              </w:rPr>
              <w:lastRenderedPageBreak/>
              <w:t>Site</w:t>
            </w:r>
          </w:p>
        </w:tc>
        <w:tc>
          <w:tcPr>
            <w:tcW w:w="382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1C15255" w14:textId="77777777" w:rsidR="005F2D6C" w:rsidRPr="008949DA" w:rsidRDefault="005F2D6C" w:rsidP="005F2D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8949DA">
              <w:rPr>
                <w:rFonts w:ascii="Times New Roman" w:eastAsia="Times New Roman" w:hAnsi="Times New Roman" w:cs="Times New Roman"/>
                <w:color w:val="000000"/>
              </w:rPr>
              <w:t>Species</w:t>
            </w:r>
          </w:p>
        </w:tc>
        <w:tc>
          <w:tcPr>
            <w:tcW w:w="126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308071A7" w14:textId="77777777" w:rsidR="005F2D6C" w:rsidRPr="008949DA" w:rsidRDefault="005F2D6C" w:rsidP="005F2D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8949DA">
              <w:rPr>
                <w:rFonts w:ascii="Times New Roman" w:eastAsia="Times New Roman" w:hAnsi="Times New Roman" w:cs="Times New Roman"/>
                <w:color w:val="000000"/>
              </w:rPr>
              <w:t>Habitat</w:t>
            </w:r>
          </w:p>
        </w:tc>
        <w:tc>
          <w:tcPr>
            <w:tcW w:w="21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A94E74A" w14:textId="77777777" w:rsidR="005F2D6C" w:rsidRPr="008949DA" w:rsidRDefault="005F2D6C" w:rsidP="005F2D6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8949DA">
              <w:rPr>
                <w:rFonts w:ascii="Times New Roman" w:eastAsia="Times New Roman" w:hAnsi="Times New Roman" w:cs="Times New Roman"/>
                <w:color w:val="000000"/>
              </w:rPr>
              <w:t>Number of Salamander/Cover Object Pairs</w:t>
            </w:r>
          </w:p>
        </w:tc>
      </w:tr>
      <w:tr w:rsidR="005F2D6C" w:rsidRPr="008949DA" w14:paraId="0A278D20" w14:textId="77777777" w:rsidTr="003D58F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545AD05"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1</w:t>
            </w:r>
          </w:p>
        </w:tc>
        <w:tc>
          <w:tcPr>
            <w:tcW w:w="38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0B6E4F"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conanti</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A93B034"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Terrestrial</w:t>
            </w:r>
          </w:p>
        </w:tc>
        <w:tc>
          <w:tcPr>
            <w:tcW w:w="21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EDB9D1F"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4</w:t>
            </w:r>
          </w:p>
        </w:tc>
      </w:tr>
      <w:tr w:rsidR="005F2D6C" w:rsidRPr="008949DA" w14:paraId="5A578FCE" w14:textId="77777777" w:rsidTr="00931C15">
        <w:trPr>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A5DB674"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1</w:t>
            </w:r>
          </w:p>
        </w:tc>
        <w:tc>
          <w:tcPr>
            <w:tcW w:w="3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82D51F6"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monticola</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DAE31B2"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Terrestrial</w:t>
            </w:r>
          </w:p>
        </w:tc>
        <w:tc>
          <w:tcPr>
            <w:tcW w:w="2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EB53FA7"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6</w:t>
            </w:r>
          </w:p>
        </w:tc>
      </w:tr>
      <w:tr w:rsidR="005F2D6C" w:rsidRPr="008949DA" w14:paraId="233180CF" w14:textId="77777777" w:rsidTr="003D58F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C34BD22"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2</w:t>
            </w:r>
          </w:p>
        </w:tc>
        <w:tc>
          <w:tcPr>
            <w:tcW w:w="38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E489F63"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monticola</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317714F"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Terrestrial</w:t>
            </w:r>
          </w:p>
        </w:tc>
        <w:tc>
          <w:tcPr>
            <w:tcW w:w="21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5629D18"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6</w:t>
            </w:r>
          </w:p>
        </w:tc>
      </w:tr>
      <w:tr w:rsidR="005F2D6C" w:rsidRPr="008949DA" w14:paraId="51F2EE20" w14:textId="77777777" w:rsidTr="00931C15">
        <w:trPr>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D273C92"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2</w:t>
            </w:r>
          </w:p>
        </w:tc>
        <w:tc>
          <w:tcPr>
            <w:tcW w:w="3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54B8FCC"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8949DA">
              <w:rPr>
                <w:rFonts w:ascii="Times New Roman" w:eastAsia="Times New Roman" w:hAnsi="Times New Roman" w:cs="Times New Roman"/>
                <w:i/>
                <w:iCs/>
                <w:color w:val="000000"/>
              </w:rPr>
              <w:t xml:space="preserve">Eurycea </w:t>
            </w:r>
            <w:r w:rsidRPr="003D58F0">
              <w:rPr>
                <w:rFonts w:ascii="Times New Roman" w:eastAsia="Times New Roman" w:hAnsi="Times New Roman" w:cs="Times New Roman"/>
                <w:color w:val="000000"/>
              </w:rPr>
              <w:t>cf</w:t>
            </w:r>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wilderae</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ED84805"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Terrestrial</w:t>
            </w:r>
          </w:p>
        </w:tc>
        <w:tc>
          <w:tcPr>
            <w:tcW w:w="2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A4FC986"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8</w:t>
            </w:r>
          </w:p>
        </w:tc>
      </w:tr>
      <w:tr w:rsidR="005F2D6C" w:rsidRPr="008949DA" w14:paraId="0106ABC4" w14:textId="77777777" w:rsidTr="003D58F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FA6104C"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3</w:t>
            </w:r>
          </w:p>
        </w:tc>
        <w:tc>
          <w:tcPr>
            <w:tcW w:w="38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50CC292C"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conanti</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35456AC"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Aquatic</w:t>
            </w:r>
          </w:p>
        </w:tc>
        <w:tc>
          <w:tcPr>
            <w:tcW w:w="21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58DEE96"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4</w:t>
            </w:r>
          </w:p>
        </w:tc>
      </w:tr>
      <w:tr w:rsidR="005F2D6C" w:rsidRPr="008949DA" w14:paraId="6D1C5923" w14:textId="77777777" w:rsidTr="00931C15">
        <w:trPr>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7F82550"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3</w:t>
            </w:r>
          </w:p>
        </w:tc>
        <w:tc>
          <w:tcPr>
            <w:tcW w:w="3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5BC673A"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monticola</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27D0CFFF"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Aquatic</w:t>
            </w:r>
          </w:p>
        </w:tc>
        <w:tc>
          <w:tcPr>
            <w:tcW w:w="2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0C83EC2"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6</w:t>
            </w:r>
          </w:p>
        </w:tc>
      </w:tr>
      <w:tr w:rsidR="005F2D6C" w:rsidRPr="008949DA" w14:paraId="70C1DF51" w14:textId="77777777" w:rsidTr="003D58F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3948A8C"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4</w:t>
            </w:r>
          </w:p>
        </w:tc>
        <w:tc>
          <w:tcPr>
            <w:tcW w:w="38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24942036"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monticola</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1A47B20"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Aquatic</w:t>
            </w:r>
          </w:p>
        </w:tc>
        <w:tc>
          <w:tcPr>
            <w:tcW w:w="215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E146DB6" w14:textId="77777777" w:rsidR="005F2D6C" w:rsidRPr="008949DA" w:rsidRDefault="005F2D6C" w:rsidP="005F2D6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6</w:t>
            </w:r>
          </w:p>
        </w:tc>
      </w:tr>
      <w:tr w:rsidR="005F2D6C" w:rsidRPr="008949DA" w14:paraId="4681137E" w14:textId="77777777" w:rsidTr="00931C15">
        <w:trPr>
          <w:trHeight w:val="320"/>
        </w:trPr>
        <w:tc>
          <w:tcPr>
            <w:cnfStyle w:val="001000000000" w:firstRow="0" w:lastRow="0" w:firstColumn="1" w:lastColumn="0" w:oddVBand="0" w:evenVBand="0" w:oddHBand="0" w:evenHBand="0" w:firstRowFirstColumn="0" w:firstRowLastColumn="0" w:lastRowFirstColumn="0" w:lastRowLastColumn="0"/>
            <w:tcW w:w="130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8A11E89" w14:textId="77777777" w:rsidR="005F2D6C" w:rsidRPr="008949DA" w:rsidRDefault="005F2D6C" w:rsidP="005F2D6C">
            <w:pPr>
              <w:jc w:val="center"/>
              <w:rPr>
                <w:rFonts w:ascii="Times New Roman" w:eastAsia="Times New Roman" w:hAnsi="Times New Roman" w:cs="Times New Roman"/>
                <w:color w:val="000000"/>
              </w:rPr>
            </w:pPr>
            <w:r w:rsidRPr="008949DA">
              <w:rPr>
                <w:rFonts w:ascii="Times New Roman" w:eastAsia="Times New Roman" w:hAnsi="Times New Roman" w:cs="Times New Roman"/>
                <w:color w:val="000000"/>
              </w:rPr>
              <w:t>4</w:t>
            </w:r>
          </w:p>
        </w:tc>
        <w:tc>
          <w:tcPr>
            <w:tcW w:w="382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81D4E34"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proofErr w:type="spellStart"/>
            <w:r w:rsidRPr="008949DA">
              <w:rPr>
                <w:rFonts w:ascii="Times New Roman" w:eastAsia="Times New Roman" w:hAnsi="Times New Roman" w:cs="Times New Roman"/>
                <w:i/>
                <w:iCs/>
                <w:color w:val="000000"/>
              </w:rPr>
              <w:t>Desmognathus</w:t>
            </w:r>
            <w:proofErr w:type="spellEnd"/>
            <w:r w:rsidRPr="008949DA">
              <w:rPr>
                <w:rFonts w:ascii="Times New Roman" w:eastAsia="Times New Roman" w:hAnsi="Times New Roman" w:cs="Times New Roman"/>
                <w:i/>
                <w:iCs/>
                <w:color w:val="000000"/>
              </w:rPr>
              <w:t xml:space="preserve"> </w:t>
            </w:r>
            <w:proofErr w:type="spellStart"/>
            <w:r w:rsidRPr="008949DA">
              <w:rPr>
                <w:rFonts w:ascii="Times New Roman" w:eastAsia="Times New Roman" w:hAnsi="Times New Roman" w:cs="Times New Roman"/>
                <w:i/>
                <w:iCs/>
                <w:color w:val="000000"/>
              </w:rPr>
              <w:t>gvnigeusgwotli</w:t>
            </w:r>
            <w:proofErr w:type="spellEnd"/>
          </w:p>
        </w:tc>
        <w:tc>
          <w:tcPr>
            <w:tcW w:w="126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74DF1F6"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Aquatic</w:t>
            </w:r>
          </w:p>
        </w:tc>
        <w:tc>
          <w:tcPr>
            <w:tcW w:w="2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44858BC" w14:textId="77777777" w:rsidR="005F2D6C" w:rsidRPr="008949DA" w:rsidRDefault="005F2D6C" w:rsidP="005F2D6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8949DA">
              <w:rPr>
                <w:rFonts w:ascii="Times New Roman" w:eastAsia="Times New Roman" w:hAnsi="Times New Roman" w:cs="Times New Roman"/>
                <w:color w:val="000000"/>
              </w:rPr>
              <w:t>6</w:t>
            </w:r>
          </w:p>
        </w:tc>
      </w:tr>
    </w:tbl>
    <w:p w14:paraId="6E32762B" w14:textId="68C362B9" w:rsidR="004D2321" w:rsidRPr="00A26202" w:rsidRDefault="004D2321" w:rsidP="00A26202">
      <w:pPr>
        <w:pStyle w:val="Caption"/>
        <w:rPr>
          <w:rFonts w:ascii="Times New Roman" w:hAnsi="Times New Roman" w:cs="Times New Roman"/>
          <w:b w:val="0"/>
          <w:bCs w:val="0"/>
        </w:rPr>
      </w:pPr>
      <w:bookmarkStart w:id="61" w:name="_Toc165028993"/>
      <w:r w:rsidRPr="00491D83">
        <w:rPr>
          <w:rFonts w:ascii="Times New Roman" w:hAnsi="Times New Roman" w:cs="Times New Roman"/>
          <w:b w:val="0"/>
          <w:bCs w:val="0"/>
        </w:rPr>
        <w:t xml:space="preserve">Table </w:t>
      </w:r>
      <w:r w:rsidR="00122B3E">
        <w:rPr>
          <w:rFonts w:ascii="Times New Roman" w:hAnsi="Times New Roman" w:cs="Times New Roman"/>
          <w:b w:val="0"/>
          <w:bCs w:val="0"/>
        </w:rPr>
        <w:fldChar w:fldCharType="begin"/>
      </w:r>
      <w:r w:rsidR="00122B3E">
        <w:rPr>
          <w:rFonts w:ascii="Times New Roman" w:hAnsi="Times New Roman" w:cs="Times New Roman"/>
          <w:b w:val="0"/>
          <w:bCs w:val="0"/>
        </w:rPr>
        <w:instrText xml:space="preserve"> SEQ Table \* ARABIC </w:instrText>
      </w:r>
      <w:r w:rsidR="00122B3E">
        <w:rPr>
          <w:rFonts w:ascii="Times New Roman" w:hAnsi="Times New Roman" w:cs="Times New Roman"/>
          <w:b w:val="0"/>
          <w:bCs w:val="0"/>
        </w:rPr>
        <w:fldChar w:fldCharType="separate"/>
      </w:r>
      <w:r w:rsidR="001648DD">
        <w:rPr>
          <w:rFonts w:ascii="Times New Roman" w:hAnsi="Times New Roman" w:cs="Times New Roman"/>
          <w:b w:val="0"/>
          <w:bCs w:val="0"/>
          <w:noProof/>
        </w:rPr>
        <w:t>3</w:t>
      </w:r>
      <w:r w:rsidR="00122B3E">
        <w:rPr>
          <w:rFonts w:ascii="Times New Roman" w:hAnsi="Times New Roman" w:cs="Times New Roman"/>
          <w:b w:val="0"/>
          <w:bCs w:val="0"/>
        </w:rPr>
        <w:fldChar w:fldCharType="end"/>
      </w:r>
      <w:r w:rsidRPr="00491D83">
        <w:rPr>
          <w:rFonts w:ascii="Times New Roman" w:hAnsi="Times New Roman" w:cs="Times New Roman"/>
          <w:b w:val="0"/>
          <w:bCs w:val="0"/>
        </w:rPr>
        <w:t>: Species, habitat, and sample numbers used in Chapter 2.</w:t>
      </w:r>
      <w:bookmarkEnd w:id="61"/>
      <w:r w:rsidRPr="00491D83">
        <w:rPr>
          <w:rFonts w:ascii="Times New Roman" w:hAnsi="Times New Roman" w:cs="Times New Roman"/>
          <w:b w:val="0"/>
          <w:bCs w:val="0"/>
        </w:rPr>
        <w:br w:type="page"/>
      </w:r>
    </w:p>
    <w:p w14:paraId="06EE4290" w14:textId="4340D5A7" w:rsidR="004D2321" w:rsidRDefault="00C70566" w:rsidP="00C70566">
      <w:pPr>
        <w:spacing w:line="360" w:lineRule="auto"/>
        <w:rPr>
          <w:rFonts w:ascii="Times New Roman" w:hAnsi="Times New Roman" w:cs="Times New Roman"/>
        </w:rPr>
      </w:pPr>
      <w:r w:rsidRPr="00D75A98">
        <w:rPr>
          <w:rFonts w:ascii="Times New Roman" w:hAnsi="Times New Roman" w:cs="Times New Roman"/>
        </w:rPr>
        <w:lastRenderedPageBreak/>
        <w:t xml:space="preserve">purified using </w:t>
      </w:r>
      <w:proofErr w:type="spellStart"/>
      <w:r w:rsidRPr="00D75A98">
        <w:rPr>
          <w:rFonts w:ascii="Times New Roman" w:hAnsi="Times New Roman" w:cs="Times New Roman"/>
        </w:rPr>
        <w:t>AMPure</w:t>
      </w:r>
      <w:proofErr w:type="spellEnd"/>
      <w:r w:rsidRPr="00D75A98">
        <w:rPr>
          <w:rFonts w:ascii="Times New Roman" w:hAnsi="Times New Roman" w:cs="Times New Roman"/>
        </w:rPr>
        <w:t xml:space="preserve"> beads (Beckman Coulter). Unique sample barcodes and sequencing primers (Nexterra XT) were added during a second PCR with conditions the same conditions described previously, only with eight cycles. Purified products were quantified via nanodrop, pooled to equimolar concentrations, and sequenced on an Illumina </w:t>
      </w:r>
      <w:proofErr w:type="spellStart"/>
      <w:r w:rsidRPr="00D75A98">
        <w:rPr>
          <w:rFonts w:ascii="Times New Roman" w:hAnsi="Times New Roman" w:cs="Times New Roman"/>
        </w:rPr>
        <w:t>MiSeq</w:t>
      </w:r>
      <w:proofErr w:type="spellEnd"/>
      <w:r w:rsidRPr="00D75A98">
        <w:rPr>
          <w:rFonts w:ascii="Times New Roman" w:hAnsi="Times New Roman" w:cs="Times New Roman"/>
        </w:rPr>
        <w:t xml:space="preserve"> at the University of Tennessee Genomics Core. </w:t>
      </w:r>
      <w:proofErr w:type="gramStart"/>
      <w:r w:rsidRPr="00D75A98">
        <w:rPr>
          <w:rFonts w:ascii="Times New Roman" w:hAnsi="Times New Roman" w:cs="Times New Roman"/>
        </w:rPr>
        <w:t>Paired-end</w:t>
      </w:r>
      <w:proofErr w:type="gramEnd"/>
      <w:r w:rsidRPr="00D75A98">
        <w:rPr>
          <w:rFonts w:ascii="Times New Roman" w:hAnsi="Times New Roman" w:cs="Times New Roman"/>
        </w:rPr>
        <w:t xml:space="preserve"> 2 X 275 sequencing was carried out using a V3 600 flow cell with a 20% </w:t>
      </w:r>
      <w:proofErr w:type="spellStart"/>
      <w:r w:rsidRPr="00D75A98">
        <w:rPr>
          <w:rFonts w:ascii="Times New Roman" w:hAnsi="Times New Roman" w:cs="Times New Roman"/>
        </w:rPr>
        <w:t>PhiX</w:t>
      </w:r>
      <w:proofErr w:type="spellEnd"/>
      <w:r w:rsidRPr="00D75A98">
        <w:rPr>
          <w:rFonts w:ascii="Times New Roman" w:hAnsi="Times New Roman" w:cs="Times New Roman"/>
        </w:rPr>
        <w:t xml:space="preserve"> spike.</w:t>
      </w:r>
      <w:r>
        <w:rPr>
          <w:rFonts w:ascii="Times New Roman" w:hAnsi="Times New Roman" w:cs="Times New Roman"/>
        </w:rPr>
        <w:t xml:space="preserve"> </w:t>
      </w:r>
    </w:p>
    <w:p w14:paraId="2BAF68AF" w14:textId="0EB66931" w:rsidR="00AC575A" w:rsidRPr="008D5613" w:rsidRDefault="00AC575A" w:rsidP="004D2321">
      <w:pPr>
        <w:spacing w:line="360" w:lineRule="auto"/>
        <w:ind w:firstLine="720"/>
        <w:rPr>
          <w:rFonts w:ascii="Times New Roman" w:hAnsi="Times New Roman" w:cs="Times New Roman"/>
          <w:b/>
          <w:bCs/>
        </w:rPr>
      </w:pPr>
      <w:r w:rsidRPr="00D75A98">
        <w:rPr>
          <w:rFonts w:ascii="Times New Roman" w:hAnsi="Times New Roman" w:cs="Times New Roman"/>
        </w:rPr>
        <w:t xml:space="preserve">After removing primers, sequences were trimmed, quality filtered and merged in the same manner as previously described. Taxonomy was assigned via the Silva 132 database via the </w:t>
      </w:r>
      <w:proofErr w:type="spellStart"/>
      <w:r w:rsidRPr="00D75A98">
        <w:rPr>
          <w:rFonts w:ascii="Times New Roman" w:hAnsi="Times New Roman" w:cs="Times New Roman"/>
        </w:rPr>
        <w:t>IdTaxa</w:t>
      </w:r>
      <w:proofErr w:type="spellEnd"/>
      <w:r w:rsidRPr="00D75A98">
        <w:rPr>
          <w:rFonts w:ascii="Times New Roman" w:hAnsi="Times New Roman" w:cs="Times New Roman"/>
        </w:rPr>
        <w:t xml:space="preserve"> algorithm in R v2.4.0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{"citationID":"vmzNrY1W","properties":{"formattedCitation":"(R Core Team, 2022)","plainCitation":"(R Core Team, 2022)","noteIndex":0},"citationItems":[{"id":72,"uris":["http://zotero.org/users/6401767/items/EUBIKDIJ"],"itemData":{"id":72,"type":"software","event-place":"Vienna, Austria","publisher":"R Foundation for Statistical Computing","publisher-place":"Vienna, Austria","title":"R: A language and environment for statistical computing.","URL":"https://www.R-project.org/","author":[{"family":"R Core Team","given":""}],"issued":{"date-parts":[["2022"]]}}}],"schema":"https://github.com/citation-style-language/schema/raw/master/csl-citation.json"}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(R Core Team, 2022)</w:t>
      </w:r>
      <w:r w:rsidRPr="00D75A98">
        <w:rPr>
          <w:rFonts w:ascii="Times New Roman" w:hAnsi="Times New Roman" w:cs="Times New Roman"/>
        </w:rPr>
        <w:fldChar w:fldCharType="end"/>
      </w:r>
      <w:r w:rsidRPr="00D75A98">
        <w:rPr>
          <w:rFonts w:ascii="Times New Roman" w:hAnsi="Times New Roman" w:cs="Times New Roman"/>
        </w:rPr>
        <w:t xml:space="preserve"> and a fragment insertion phylogeny was created using the Silva 128 reference database in qiime2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{"citationID":"J06efuoH","properties":{"formattedCitation":"(Bolyen et al., 2019; Janssen et al., 2018)","plainCitation":"(Bolyen et al., 2019; Janssen et al., 2018)","noteIndex":0},"citationItems":[{"id":474,"uris":["http://zotero.org/users/6401767/items/JE473XB6"],"itemData":{"id":474,"type":"article-journal","container-title":"Nature Biotechnology","DOI":"10.1038/s41587-019-0209-9","ISSN":"1087-0156, 1546-1696","issue":"8","journalAbbreviation":"Nat Biotechnol","language":"en","page":"852-857","source":"DOI.org (Crossref)","title":"Reproducible,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J."},{"family":"Ul-Hasan","given":"Sabah"},{"family":"Hooft","given":"Justin J. J.","non-dropping-particle":"van der"},{"family":"Vargas","given":"Fernando"},{"family":"Vázquez-Baeza","given":"Yoshiki"},{"family":"Vogtmann","given":"Emily"},{"family":"Hippel","given":"Max","non-dropping-particle":"von"},{"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Gregory"}],"issued":{"date-parts":[["2019",8]]}}},{"id":335,"uris":["http://zotero.org/users/6401767/items/YCUV5V4A"],"itemData":{"id":335,"type":"article-journal","abstract":"The move from OTU-based to sOTU-based analysis, while providing additional resolution, also introduces computational challenges. We demonstrate that one popular method of dealing with sOTUs (building a de novo tree from the short sequences) can provide incorrect results in human gut metagenomic studies and show that phylogenetic placement of the new sequences with SEPP resolves this problem while also yielding other benefits over existing methods., Recent algorithmic advances in amplicon-based microbiome studies enable the inference of exact amplicon sequence fragments. These new methods enable the investigation of sub-operational taxonomic units (sOTU) by removing erroneous sequences. However, short (e.g., 150-nucleotide [nt]) DNA sequence fragments do not contain sufficient phylogenetic signal to reproduce a reasonable tree, introducing a barrier in the utilization of critical phylogenetically aware metrics such as Faith’s PD or UniFrac. Although fragment insertion methods do exist, those methods have not been tested for sOTUs from high-throughput amplicon studies in insertions against a broad reference phylogeny. We benchmarked the SATé-enabled phylogenetic placement (SEPP) technique explicitly against 16S V4 sequence fragments and showed that it outperforms the conceptually problematic but often-used practice of reconstructing de novo phylogenies. In addition, we provide a BSD-licensed QIIME2 plugin (https://github.com/biocore/q2-fragment-insertion) for SEPP and integration into the microbial study management platform QIITA., IMPORTANCE The move from OTU-based to sOTU-based analysis, while providing additional resolution, also introduces computational challenges. We demonstrate that one popular method of dealing with sOTUs (building a de novo tree from the short sequences) can provide incorrect results in human gut metagenomic studies and show that phylogenetic placement of the new sequences with SEPP resolves this problem while also yielding other benefits over existing methods.","container-title":"mSystems","DOI":"10.1128/mSystems.00021-18","ISSN":"2379-5077","issue":"3","journalAbbreviation":"mSystems","note":"PMID: 29719869\nPMCID: PMC5904434","page":"e00021-18","source":"PubMed Central","title":"Phylogenetic Placement of Exact Amplicon Sequences Improves Associations with Clinical Information","volume":"3","author":[{"family":"Janssen","given":"Stefan"},{"family":"McDonald","given":"Daniel"},{"family":"Gonzalez","given":"Antonio"},{"family":"Navas-Molina","given":"Jose A."},{"family":"Jiang","given":"Lingjing"},{"family":"Xu","given":"Zhenjiang Zech"},{"family":"Winker","given":"Kevin"},{"family":"Kado","given":"Deborah M."},{"family":"Orwoll","given":"Eric"},{"family":"Manary","given":"Mark"},{"family":"Mirarab","given":"Siavash"},{"family":"Knight","given":"Rob"}],"issued":{"date-parts":[["2018",4,17]]}}}],"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(Bolyen et al., 2019; Janssen et al., 2018)</w:t>
      </w:r>
      <w:r w:rsidRPr="00D75A98">
        <w:rPr>
          <w:rFonts w:ascii="Times New Roman" w:hAnsi="Times New Roman" w:cs="Times New Roman"/>
        </w:rPr>
        <w:fldChar w:fldCharType="end"/>
      </w:r>
      <w:r w:rsidRPr="00D75A98">
        <w:rPr>
          <w:rFonts w:ascii="Times New Roman" w:hAnsi="Times New Roman" w:cs="Times New Roman"/>
        </w:rPr>
        <w:t xml:space="preserve"> and time-calibrated using </w:t>
      </w:r>
      <w:proofErr w:type="spellStart"/>
      <w:r w:rsidRPr="00D75A98">
        <w:rPr>
          <w:rFonts w:ascii="Times New Roman" w:hAnsi="Times New Roman" w:cs="Times New Roman"/>
        </w:rPr>
        <w:t>TreePL</w:t>
      </w:r>
      <w:proofErr w:type="spellEnd"/>
      <w:r w:rsidRPr="00D75A98">
        <w:rPr>
          <w:rFonts w:ascii="Times New Roman" w:hAnsi="Times New Roman" w:cs="Times New Roman"/>
        </w:rPr>
        <w:t xml:space="preserve">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{"citationID":"Y2WeDY8v","properties":{"formattedCitation":"(S. A. Smith &amp; O\\uc0\\u8217{}Meara, 2012)","plainCitation":"(S. A. Smith &amp; O’Meara, 2012)","noteIndex":0},"citationItems":[{"id":333,"uris":["http://zotero.org/users/6401767/items/XKRR7INQ"],"itemData":{"id":333,"type":"article-journal","abstract":"Summary: Ever larger phylogenies are being constructed due to the explosion of genetic data and development of high-performance phylogenetic reconstruction algorithms. However, most methods for calculating divergence times are limited to datasets that are orders of magnitude smaller than recently published large phylogenies. Here, we present an algorithm and implementation of a divergence time method using penalized likelihood that can handle datasets of thousands of taxa. We implement a method that combines the standard derivative-based optimization with a stochastic simulated annealing approach to overcome optimization challenges. We compare this approach with existing software including r8s, PATHd8 and BEAST.Availability: Source code, example files, binaries and documentation for treePL are available at https://github.com/blackrim/treePL.Contact:eebsmith@umich.eduSupplementary information:Supplementary data are available at Bioinformatics online.","container-title":"Bioinformatics","DOI":"10.1093/bioinformatics/bts492","ISSN":"1367-4803","issue":"20","journalAbbreviation":"Bioinformatics","page":"2689-2690","source":"Silverchair","title":"treePL: divergence time estimation using penalized likelihood for large phylogenies","title-short":"treePL","volume":"28","author":[{"family":"Smith","given":"Stephen A."},{"family":"O’Meara","given":"Brian C."}],"issued":{"date-parts":[["2012",10,15]]}}}],"schema":"https://github.com/citation-style-language/schema/raw/master/csl-citation.json"} </w:instrText>
      </w:r>
      <w:r w:rsidRPr="00D75A98">
        <w:rPr>
          <w:rFonts w:ascii="Times New Roman" w:hAnsi="Times New Roman" w:cs="Times New Roman"/>
        </w:rPr>
        <w:fldChar w:fldCharType="separate"/>
      </w:r>
      <w:r w:rsidR="004D2321" w:rsidRPr="004D2321">
        <w:rPr>
          <w:rFonts w:ascii="Times New Roman" w:hAnsi="Times New Roman" w:cs="Times New Roman"/>
        </w:rPr>
        <w:t>(S. A. Smith &amp; O’Meara, 2012)</w:t>
      </w:r>
      <w:r w:rsidRPr="00D75A98">
        <w:rPr>
          <w:rFonts w:ascii="Times New Roman" w:hAnsi="Times New Roman" w:cs="Times New Roman"/>
        </w:rPr>
        <w:fldChar w:fldCharType="end"/>
      </w:r>
      <w:r w:rsidRPr="00D75A98">
        <w:rPr>
          <w:rFonts w:ascii="Times New Roman" w:hAnsi="Times New Roman" w:cs="Times New Roman"/>
        </w:rPr>
        <w:t xml:space="preserve">. We also clustered sequences at a 97% sequence similarity using VSEARCH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{"citationID":"Iq3DlVAV","properties":{"formattedCitation":"(Rognes et al., 2016)","plainCitation":"(Rognes et al., 2016)","noteIndex":0},"citationItems":[{"id":209,"uris":["http://zotero.org/users/6401767/items/8VKGT6YT"],"itemData":{"id":209,"type":"article-journal","abstract":"BACKGROUND: VSEARCH is an open source and free of charge multithreaded 64-bit tool for processing and preparing metagenomics, genomics and population genomics nucleotide sequence data. It is designed as an alternative to the widely used USEARCH tool (Edgar, 2010) for which the source code is not publicly available, algorithm details are only rudimentarily described, and only a memory-confined 32-bit version is freely available for academic use.\nMETHODS: When searching nucleotide sequences, VSEARCH uses a fast heuristic based on words shared by the query and target sequences in order to quickly identify similar sequences, a similar strategy is probably used in USEARCH. VSEARCH then performs optimal global sequence alignment of the query against potential target sequences, using full dynamic programming instead of the seed-and-extend heuristic used by USEARCH. Pairwise alignments are computed in parallel using vectorisation and multiple threads.\nRESULTS: VSEARCH includes most commands for analysing nucleotide sequences available in USEARCH version 7 and several of those available in USEARCH version 8, including searching (exact or based on global alignment), clustering by similarity (using length pre-sorting, abundance pre-sorting or a user-defined order), chimera detection (reference-based or de novo), dereplication (full length or prefix), pairwise alignment, reverse complementation, sorting, and subsampling. VSEARCH also includes commands for FASTQ file processing, i.e., format detection, filtering, read quality statistics, and merging of paired reads. Furthermore, VSEARCH extends functionality with several new commands and improvements, including shuffling, rereplication, masking of low-complexity sequences with the well-known DUST algorithm, a choice among different similarity definitions, and FASTQ file format conversion. VSEARCH is here shown to be more accurate than USEARCH when performing searching, clustering, chimera detection and subsampling, while on a par with USEARCH for paired-ends read merging. VSEARCH is slower than USEARCH when performing clustering and chimera detection, but significantly faster when performing paired-end reads merging and dereplication. VSEARCH is available at https://github.com/torognes/vsearch under either the BSD 2-clause license or the GNU General Public License version 3.0.\nDISCUSSION: VSEARCH has been shown to be a fast, accurate and full-fledged alternative to USEARCH. A free and open-source versatile tool for sequence analysis is now available to the metagenomics community.","container-title":"PeerJ","DOI":"10.7717/peerj.2584","ISSN":"2167-8359","journalAbbreviation":"PeerJ","language":"eng","note":"PMID: 27781170\nPMCID: PMC5075697","page":"e2584","source":"PubMed","title":"VSEARCH: a versatile open source tool for metagenomics","title-short":"VSEARCH","volume":"4","author":[{"family":"Rognes","given":"Torbjørn"},{"family":"Flouri","given":"Tomáš"},{"family":"Nichols","given":"Ben"},{"family":"Quince","given":"Christopher"},{"family":"Mahé","given":"Frédéric"}],"issued":{"date-parts":[["2016"]]}}}],"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(Rognes et al., 2016)</w:t>
      </w:r>
      <w:r w:rsidRPr="00D75A98">
        <w:rPr>
          <w:rFonts w:ascii="Times New Roman" w:hAnsi="Times New Roman" w:cs="Times New Roman"/>
        </w:rPr>
        <w:fldChar w:fldCharType="end"/>
      </w:r>
      <w:r w:rsidRPr="00D75A98">
        <w:rPr>
          <w:rFonts w:ascii="Times New Roman" w:hAnsi="Times New Roman" w:cs="Times New Roman"/>
        </w:rPr>
        <w:t xml:space="preserve"> with the same taxonomic classification and phylogenetic methods as described above. After removing chimeras, singletons, and contaminants associated with sterile water and laboratory blanks as well as any sample with lower reads than the highest </w:t>
      </w:r>
      <w:r w:rsidR="00933028" w:rsidRPr="00D75A98">
        <w:rPr>
          <w:rFonts w:ascii="Times New Roman" w:hAnsi="Times New Roman" w:cs="Times New Roman"/>
        </w:rPr>
        <w:t>control, the final dataset resulted in 1,731,197 reads</w:t>
      </w:r>
      <w:r w:rsidR="00933028">
        <w:rPr>
          <w:rFonts w:ascii="Times New Roman" w:hAnsi="Times New Roman" w:cs="Times New Roman"/>
        </w:rPr>
        <w:t xml:space="preserve"> </w:t>
      </w:r>
      <w:r w:rsidR="00933028" w:rsidRPr="00D75A98">
        <w:rPr>
          <w:rFonts w:ascii="Times New Roman" w:hAnsi="Times New Roman" w:cs="Times New Roman"/>
        </w:rPr>
        <w:t>mapped to 38,836 sequence variants in 46 environmental samples and 46 salamanders.</w:t>
      </w:r>
      <w:r w:rsidR="00933028" w:rsidRPr="00933028">
        <w:rPr>
          <w:rFonts w:ascii="Times New Roman" w:hAnsi="Times New Roman" w:cs="Times New Roman"/>
        </w:rPr>
        <w:t xml:space="preserve"> </w:t>
      </w:r>
      <w:r w:rsidR="00933028" w:rsidRPr="00D75A98">
        <w:rPr>
          <w:rFonts w:ascii="Times New Roman" w:hAnsi="Times New Roman" w:cs="Times New Roman"/>
        </w:rPr>
        <w:t xml:space="preserve">Clustering to 97% similarity yielded 12,796 OTUs. OTUs were used for diversity analyses, while ASVs were used for our indicator species analysis, and both </w:t>
      </w:r>
      <w:r w:rsidR="007108BE" w:rsidRPr="007108BE">
        <w:rPr>
          <w:rFonts w:ascii="Times New Roman" w:hAnsi="Times New Roman" w:cs="Times New Roman"/>
        </w:rPr>
        <w:t>ASVs and OTUs were used for assessing the strength of relationship between relative abundance</w:t>
      </w:r>
      <w:r w:rsidR="00C70566">
        <w:rPr>
          <w:rFonts w:ascii="Times New Roman" w:hAnsi="Times New Roman" w:cs="Times New Roman"/>
        </w:rPr>
        <w:t xml:space="preserve"> on cover objects and salamanders</w:t>
      </w:r>
      <w:r w:rsidR="004D2321">
        <w:rPr>
          <w:rFonts w:ascii="Times New Roman" w:hAnsi="Times New Roman" w:cs="Times New Roman"/>
        </w:rPr>
        <w:t>.</w:t>
      </w:r>
    </w:p>
    <w:p w14:paraId="33C896B8" w14:textId="1721DECF" w:rsidR="00AC575A" w:rsidRPr="00491D83" w:rsidRDefault="00AC575A" w:rsidP="00AC575A">
      <w:pPr>
        <w:pStyle w:val="Heading3"/>
        <w:rPr>
          <w:rFonts w:ascii="Times New Roman" w:hAnsi="Times New Roman" w:cs="Times New Roman"/>
          <w:b w:val="0"/>
          <w:bCs w:val="0"/>
          <w:i w:val="0"/>
        </w:rPr>
      </w:pPr>
      <w:bookmarkStart w:id="62" w:name="_Toc165028067"/>
      <w:r w:rsidRPr="00491D83">
        <w:rPr>
          <w:rFonts w:ascii="Times New Roman" w:hAnsi="Times New Roman" w:cs="Times New Roman"/>
          <w:b w:val="0"/>
          <w:bCs w:val="0"/>
          <w:iCs/>
        </w:rPr>
        <w:t xml:space="preserve">Diversity within and </w:t>
      </w:r>
      <w:r w:rsidR="008A6662" w:rsidRPr="00491D83">
        <w:rPr>
          <w:rFonts w:ascii="Times New Roman" w:hAnsi="Times New Roman" w:cs="Times New Roman"/>
          <w:b w:val="0"/>
          <w:bCs w:val="0"/>
          <w:iCs/>
        </w:rPr>
        <w:t>b</w:t>
      </w:r>
      <w:r w:rsidRPr="00491D83">
        <w:rPr>
          <w:rFonts w:ascii="Times New Roman" w:hAnsi="Times New Roman" w:cs="Times New Roman"/>
          <w:b w:val="0"/>
          <w:bCs w:val="0"/>
          <w:iCs/>
        </w:rPr>
        <w:t xml:space="preserve">etween </w:t>
      </w:r>
      <w:r w:rsidR="008A6662" w:rsidRPr="00491D83">
        <w:rPr>
          <w:rFonts w:ascii="Times New Roman" w:hAnsi="Times New Roman" w:cs="Times New Roman"/>
          <w:b w:val="0"/>
          <w:bCs w:val="0"/>
          <w:iCs/>
        </w:rPr>
        <w:t>s</w:t>
      </w:r>
      <w:r w:rsidRPr="00491D83">
        <w:rPr>
          <w:rFonts w:ascii="Times New Roman" w:hAnsi="Times New Roman" w:cs="Times New Roman"/>
          <w:b w:val="0"/>
          <w:bCs w:val="0"/>
          <w:iCs/>
        </w:rPr>
        <w:t>amples</w:t>
      </w:r>
      <w:bookmarkEnd w:id="62"/>
    </w:p>
    <w:p w14:paraId="26BAFE79" w14:textId="1A9DF5BC" w:rsidR="00AC575A" w:rsidRPr="00D75A98" w:rsidRDefault="00AC575A" w:rsidP="00AC575A">
      <w:pPr>
        <w:spacing w:line="360" w:lineRule="auto"/>
        <w:ind w:firstLine="720"/>
        <w:rPr>
          <w:rFonts w:ascii="Times New Roman" w:hAnsi="Times New Roman" w:cs="Times New Roman"/>
        </w:rPr>
      </w:pPr>
      <w:r w:rsidRPr="00D75A98">
        <w:rPr>
          <w:rFonts w:ascii="Times New Roman" w:hAnsi="Times New Roman" w:cs="Times New Roman"/>
        </w:rPr>
        <w:t>To evaluate whether microbiomes are less diverse than environmental reservoirs, we assessed alpha diversity both taxonomically and phylogenetically using three orders of Hill numbers, amounting to the richness (</w:t>
      </w:r>
      <w:r w:rsidRPr="00D75A98">
        <w:rPr>
          <w:rFonts w:ascii="Times New Roman" w:hAnsi="Times New Roman" w:cs="Times New Roman"/>
          <w:i/>
          <w:iCs/>
        </w:rPr>
        <w:t>q=0</w:t>
      </w:r>
      <w:r w:rsidRPr="00D75A98">
        <w:rPr>
          <w:rFonts w:ascii="Times New Roman" w:hAnsi="Times New Roman" w:cs="Times New Roman"/>
        </w:rPr>
        <w:t xml:space="preserve">), exponentiated Shannon index (as the limit approaches </w:t>
      </w:r>
      <w:r w:rsidRPr="00D75A98">
        <w:rPr>
          <w:rFonts w:ascii="Times New Roman" w:hAnsi="Times New Roman" w:cs="Times New Roman"/>
          <w:i/>
          <w:iCs/>
        </w:rPr>
        <w:t>q=1</w:t>
      </w:r>
      <w:r w:rsidRPr="00D75A98">
        <w:rPr>
          <w:rFonts w:ascii="Times New Roman" w:hAnsi="Times New Roman" w:cs="Times New Roman"/>
        </w:rPr>
        <w:t>), and inverse Simpson’s index (</w:t>
      </w:r>
      <w:r w:rsidRPr="00D75A98">
        <w:rPr>
          <w:rFonts w:ascii="Times New Roman" w:hAnsi="Times New Roman" w:cs="Times New Roman"/>
          <w:i/>
          <w:iCs/>
        </w:rPr>
        <w:t>q=2</w:t>
      </w:r>
      <w:r w:rsidRPr="00D75A98">
        <w:rPr>
          <w:rFonts w:ascii="Times New Roman" w:hAnsi="Times New Roman" w:cs="Times New Roman"/>
        </w:rPr>
        <w:t xml:space="preserve">) for taxonomic Hill Numbers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{"citationID":"HrEkVSa6","properties":{"formattedCitation":"(M. O. Hill, 1973; Jost, 2007)","plainCitation":"(M. O. Hill, 1973; Jost, 2007)","noteIndex":0},"citationItems":[{"id":217,"uris":["http://zotero.org/users/6401767/items/5B8W7WU6"],"itemData":{"id":217,"type":"article-journal","abstract":"Three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derived.","archive":"JSTOR","container-title":"Ecology","DOI":"10.2307/1934352","ISSN":"0012-9658","issue":"2","note":"publisher: Ecological Society of America","page":"427-432","source":"JSTOR","title":"Diversity and Evenness: A Unifying Notation and Its Consequences","title-short":"Diversity and Evenness","volume":"54","author":[{"family":"Hill","given":"M. O."}],"issued":{"date-parts":[["1973"]]}}},{"id":467,"uris":["http://zotero.org/users/6401767/items/U7KR7RBX"],"itemData":{"id":467,"type":"article-journal","container-title":"Ecology","issue":"10","language":"en","page":"2427-2439","source":"Zotero","title":"Partitioning Diversity into Independent Alpha and Beta Components","volume":"88","author":[{"family":"Jost","given":"Lou"}],"issued":{"date-parts":[["2007"]]}}}],"schema":"https://github.com/citation-style-language/schema/raw/master/csl-citation.json"}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(M. O. Hill, 1973; Jost, 2007)</w:t>
      </w:r>
      <w:r w:rsidRPr="00D75A98">
        <w:rPr>
          <w:rFonts w:ascii="Times New Roman" w:hAnsi="Times New Roman" w:cs="Times New Roman"/>
        </w:rPr>
        <w:fldChar w:fldCharType="end"/>
      </w:r>
      <w:r w:rsidRPr="00D75A98">
        <w:rPr>
          <w:rFonts w:ascii="Times New Roman" w:hAnsi="Times New Roman" w:cs="Times New Roman"/>
        </w:rPr>
        <w:t xml:space="preserve">. Phylogenetic diversity is associated with the diversity of traits in a microbial community. Despite horizontal gene transfer and rapid gene loss, bacteria show trait conservatism along their phylogeny, especially when a particular trait is associated with functional complexity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{"citationID":"2PVhZ0dO","properties":{"formattedCitation":"(A. C. Martiny et al., 2013; J. B. H. Martiny et al., 2015)","plainCitation":"(A. C. Martiny et al., 2013; J. B. H. Martiny et al., 2015)","noteIndex":0},"citationItems":[{"id":63,"uris":["http://zotero.org/users/6401767/items/NS993LG8"],"itemData":{"id":63,"type":"article-journal","abstract":"A central question in biology is how biodiversity influences ecosystem functioning. Underlying this is the relationship between organismal phylogeny and the presence of specific functional traits. The relationship is complicated by gene loss and convergent evolution, resulting in the polyphyletic distribution of many traits. In microorganisms, lateral gene transfer can further distort the linkage between phylogeny and the presence of specific functional traits. To identify the phylogenetic conservation of specific traits in microorganisms, we developed a new phylogenetic metric—consenTRAIT—to estimate the clade depth where organisms share a trait. We then analyzed the distribution of 89 functional traits across a broad range of Bacteria and Archaea using genotypic and phenotypic data. A total of 93% of the traits were significantly non-randomly distributed, which suggested that vertical inheritance was generally important for the phylogenetic dispersion of functional traits in microorganisms. Further, traits in microbes were associated with a continuum of trait depths (τD), ranging from a few deep to many shallow clades (average τD: 0.101–0.0011 rRNA sequence dissimilarity). Next, we demonstrated that the dispersion and the depth of clades that contain a trait is correlated with the trait’s complexity. Specifically, complex traits encoded by many genes like photosynthesis and methanogenesis were found in a few deep clusters, whereas the ability to use simple carbon substrates was highly phylogenetically dispersed. On the basis of these results, we propose a framework for predicting the phylogenetic conservatism of functional traits depending on the complexity of the trait. This framework enables predicting how variation in microbial composition may affect microbially-mediated ecosystem processes as well as linking phylogenetic and trait-based patterns of biogeography.","container-title":"The ISME Journal","DOI":"10.1038/ismej.2012.160","ISSN":"1751-7370","issue":"4","journalAbbreviation":"ISME J","language":"en","license":"2013 International Society for Microbial Ecology","note":"number: 4\npublisher: Nature Publishing Group","page":"830-838","source":"www.nature.com","title":"Phylogenetic conservatism of functional traits in microorganisms","volume":"7","author":[{"family":"Martiny","given":"Adam C."},{"family":"Treseder","given":"Kathleen"},{"family":"Pusch","given":"Gordon"}],"issued":{"date-parts":[["2013",4]]}}},{"id":62,"uris":["http://zotero.org/users/6401767/items/7CNFYYAC"],"itemData":{"id":62,"type":"article-journal","abstract":"Function in the tree of life\n            \n              How does the composition of microbial communities integrate functionally with the wider environment? Martiny\n              et al.\n              review how patterns of microbial species abundances in different environments and disease states can have strong evolutionary signals. Some environmental changes select the survival of organisms with conserved metabolisms requiring complex configurations of proteins and cofactors that have long evolutionary histories, such as methane producers. In contrast, surviving antibiotic exposure may only require a single gene that can be traded promiscuously among many unrelated organisms. So, depending on the key ingredient (whether it is temperature, light, nutrient, or a dose of antibiotic) and the evolutionary history of its complementary metabolism, shifting environmental conditions will have predictable effects at different levels within the microbial tree of life.\n            \n            \n              Science\n              , this issue p.\n              10.1126/science.aac9323\n            \n          , \n            \n              BACKGROUND\n              Microbial communities—microbiomes—are intricately linked to human health and critical ecosystem services. New technologies allow the rapid characterization of hundreds of samples at a time and provide a sweeping perspective on microbiome patterns. However, a systematic understanding of what determines microbiome diversity and composition and its implications for system functioning is still lacking. A focus on the phenotypic characteristics of microorganisms—their traits—offers a path for interpreting the growing amount of microbiome data. Indeed, a variety of trait-based approaches have been proposed for plants and animal communities, and this approach has helped to clarify the mechanisms underlying community assembly, diversity-process relationships, and ecosystem responses to environmental change.\n              Although there is a growing emphasis on microbial traits, the concept has not been fully appreciated in microbiology. However, a trait focus for microorganisms may present an even larger research opportunity than for macro-organisms. Not only do microorganisms play a central role in nutrient and energy cycling in most systems, but the techniques used to characterize microbiomes usually provide extensive molecular and phylogenetic information.\n            \n            \n              ADVANCES\n              One major difference between macro- and microorganisms is the potential for horizontal gene transfer (HGT) in microbes. Higher rates of HGT mean that many microbial traits might be unrelated to the history of the vertically descended parts of the genome. If true, then the taxonomic composition of a microbiome might reveal little about the health or functioning of a system. We first review key aspects of microbial traits and then recent studies that document the distribution of microbial traits onto the tree of life. A synthesis of these studies reveals that, despite the promiscuity of HGT, microbial traits appear to be phylogenetically conserved, or not distributed randomly across the tree of life. Further, microbial traits appear to be conserved in a hierarchical fashion, possibly linked to their biochemical and genetic complexity. For instance, traits such as pH and salinity preference are relatively deeply conserved, such that taxa within deep clades tend to share the trait. In contrast, other traits like the ability to use simple carbon substrates or to take up organic phosphorus are shallowly conserved, and taxa share these traits only within small, shallow clades.\n            \n            \n              OUTLOOK\n              The phylogenetic, trait-based framework that emerges offers a path to interpret microbiome variation and its connection to the health and functioning of environmental, engineered, and human systems. In particular, the taxonomic resolution of biogeographic patterns provides information about the traits under selection, even across entirely different systems. Parallels observed among human and free-living communities support this idea. For instance, microbial traits related to growth on different substrates (e.g., proteins, fats, and carbohydrates) in the human gut appear to be conserved at approximately the genus level, a resolution associated with the level of conservation of glycoside hydrolase genes in bacteria generally. A focus on two particular types of traits—response and effect traits—may also aid in microbiome management, whether that means maintaining human health or mitigating climate change impacts. Future work on microbial traits must consider three challenges: the influence of different trait measurements on cross-study comparisons; correlations between traits within and among microorganisms; and interactions among microbial traits, the environment, and other organisms. Our conclusions also have implications for the growing field of community phylogenetics beyond applications to microorganisms.\n              \n                \n                  Measuring and mapping the phylogenetic distribution of microbial traits.\n                  \n                    Microbial traits encompass a range of phenotypic characteristics that vary in complexity, including (clockwise from top) virus resistance, cellulose degradation, salinity preference, nitrogen fixation, biofilm formation, and the production of alkaline phosphatase. Each trait can be measured in innumerable ways. For instance, it can be described by discrete or continuous metrics (e.g., the presence of a gene versus the number of gene copies) of potential or realized phenotypes (e.g., those assayed by functional metagenomics versus in situ\n                    \n                    activity).\n                  \n                \n                \n                [Credits: C. Wiehe; M. Maltz; J. Martiny; L. Riemann; J. Haagensen; K. Frischkorn]\n              \n            \n          , \n            A focus on the phenotypic characteristics of microorganisms—their traits—offers a path for interpreting the growing amount of microbiome data. We review key aspects of microbial traits, as well as approaches used to assay their phylogenetic distribution. Recent studies reveal that microbial traits are differentially conserved across the tree of life and appear to be conserved in a hierarchical fashion, possibly linked to their biochemical complexity. These results suggest a predictive framework whereby the genetic (or taxonomic) resolution of microbiome variation among samples provides information about the traits under selection. The organizational parallels seen among human and free-living microbiomes seem to support this idea. Developments in this framework may offer predictions not only for how microbial composition responds to changing environmental conditions, but also for how these changes may alter the health or functioning in human, engineered, and environmental systems.","container-title":"Science","DOI":"10.1126/science.aac9323","ISSN":"0036-8075, 1095-9203","issue":"6261","journalAbbreviation":"Science","language":"en","page":"aac9323","source":"DOI.org (Crossref)","title":"Microbiomes in light of traits: A phylogenetic perspective","title-short":"Microbiomes in light of traits","volume":"350","author":[{"family":"Martiny","given":"Jennifer B. H."},{"family":"Jones","given":"Stuart E."},{"family":"Lennon","given":"Jay T."},{"family":"Martiny","given":"Adam C."}],"issued":{"date-parts":[["2015",11,6]]}}}],"schema":"https://github.com/citation-style-language/schema/raw/master/csl-citation.json"}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(A. C. Martiny et al., 2013; J. B. H. Martiny et al., 2015)</w:t>
      </w:r>
      <w:r w:rsidRPr="00D75A98">
        <w:rPr>
          <w:rFonts w:ascii="Times New Roman" w:hAnsi="Times New Roman" w:cs="Times New Roman"/>
        </w:rPr>
        <w:fldChar w:fldCharType="end"/>
      </w:r>
      <w:r w:rsidRPr="00D75A98">
        <w:rPr>
          <w:rFonts w:ascii="Times New Roman" w:hAnsi="Times New Roman" w:cs="Times New Roman"/>
        </w:rPr>
        <w:t xml:space="preserve">. Thus, phylogenetic diversity can be </w:t>
      </w:r>
      <w:r w:rsidRPr="00D75A98">
        <w:rPr>
          <w:rFonts w:ascii="Times New Roman" w:hAnsi="Times New Roman" w:cs="Times New Roman"/>
        </w:rPr>
        <w:lastRenderedPageBreak/>
        <w:t xml:space="preserve">informative for understanding the distribution of potential traits in the context of community resiliency and assembly. Phylogenetic alpha diversity using Hill Numbers represents the effective number of equally distinct lineages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{"citationID":"R8Y3qJvB","properties":{"formattedCitation":"(Chao et al., 2016)","plainCitation":"(Chao et al., 2016)","noteIndex":0},"citationItems":[{"id":215,"uris":["http://zotero.org/users/6401767/items/ALU3GJP3"],"itemData":{"id":215,"type":"chapter","abstract":"Conservation biologists need robust, intuitive mathematical tools to quantify and assess patterns and changes in biodiversity. Here we review some commonly used abundance-based species diversity measures and their phylogenetic generalizations. Most of the previous abundance-sensitive measures and their phylogenetic generalizations lack an essential property, the replication principle or doubling property. This often leads to inconsistent or counter-intuitive interpretations, especially in conservation applications. Hill numbers or the “effective number of species” obey the replication principle and thus resolve many of the interpretational problems. Hill numbers were recently extended to incorporate phylogeny; the resulting measures take into account phylogenetic differences between species while still satisfying the replication principle. We review the framework of phylogenetic diversity measures based on Hill numbers and their decomposition into independent alpha and beta components. Both additive and multiplicative decompositions lead to the same classes of normalized phylogenetic similarity or differentiation measures. These classes include multiple-assemblage phylogenetic generalizations of the Jaccard, Sørensen, Horn and Morisita-Horn measures. For two assemblages, these classes also include the commonly used UniFrac and PhyloSør indices as special cases. Our approach provides a mathematically rigorous, self-consistent, ecologically meaningful set of tools for conservationists who must assess the phylogenetic diversity and complementarity of potential protected areas. Our framework is applied to a real dataset to illustrate (i) how to use phylogenetic diversity profiles to completely convey species abundances and phylogenetic information among species in an assemblage; and (ii) how to use phylogenetic similarity (or differentiation) profiles to assess phylogenetic resemblance or difference among multiple assemblages.","collection-title":"Topics in Biodiversity and Conservation","container-title":"Biodiversity Conservation and Phylogenetic Systematics: Preserving our evolutionary heritage in an extinction crisis","event-place":"Cham","ISBN":"978-3-319-22461-9","language":"en","note":"DOI: 10.1007/978-3-319-22461-9_8","page":"141-172","publisher":"Springer International Publishing","publisher-place":"Cham","source":"Springer Link","title":"Phylogenetic Diversity Measures and Their Decomposition: A Framework Based on Hill Numbers","title-short":"Phylogenetic Diversity Measures and Their Decomposition","URL":"https://doi.org/10.1007/978-3-319-22461-9_8","author":[{"family":"Chao","given":"Anne"},{"family":"Chiu","given":"Chun-Huo"},{"family":"Jost","given":"Lou"}],"editor":[{"family":"Pellens","given":"Roseli"},{"family":"Grandcolas","given":"Philippe"}],"accessed":{"date-parts":[["2020",8,10]]},"issued":{"date-parts":[["2016"]]}}}],"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(Chao et al., 2016)</w:t>
      </w:r>
      <w:r w:rsidRPr="00D75A98">
        <w:rPr>
          <w:rFonts w:ascii="Times New Roman" w:hAnsi="Times New Roman" w:cs="Times New Roman"/>
        </w:rPr>
        <w:fldChar w:fldCharType="end"/>
      </w:r>
      <w:r w:rsidRPr="00D75A98">
        <w:rPr>
          <w:rFonts w:ascii="Times New Roman" w:hAnsi="Times New Roman" w:cs="Times New Roman"/>
        </w:rPr>
        <w:t xml:space="preserve">. </w:t>
      </w:r>
      <w:r w:rsidRPr="00D75A98">
        <w:rPr>
          <w:rFonts w:ascii="Times New Roman" w:eastAsiaTheme="minorEastAsia" w:hAnsi="Times New Roman" w:cs="Times New Roman"/>
        </w:rPr>
        <w:t xml:space="preserve">At </w:t>
      </w:r>
      <w:r w:rsidRPr="00D75A98">
        <w:rPr>
          <w:rFonts w:ascii="Times New Roman" w:eastAsiaTheme="minorEastAsia" w:hAnsi="Times New Roman" w:cs="Times New Roman"/>
          <w:i/>
          <w:iCs/>
        </w:rPr>
        <w:t>q=0</w:t>
      </w:r>
      <w:r w:rsidRPr="00D75A98">
        <w:rPr>
          <w:rFonts w:ascii="Times New Roman" w:eastAsiaTheme="minorEastAsia" w:hAnsi="Times New Roman" w:cs="Times New Roman"/>
        </w:rPr>
        <w:t xml:space="preserve">, this is the commonly used Faith’s PD, while as the limit approaches </w:t>
      </w:r>
      <w:r w:rsidRPr="00D75A98">
        <w:rPr>
          <w:rFonts w:ascii="Times New Roman" w:eastAsiaTheme="minorEastAsia" w:hAnsi="Times New Roman" w:cs="Times New Roman"/>
          <w:i/>
          <w:iCs/>
        </w:rPr>
        <w:t>q=1</w:t>
      </w:r>
      <w:r w:rsidRPr="00D75A98">
        <w:rPr>
          <w:rFonts w:ascii="Times New Roman" w:eastAsiaTheme="minorEastAsia" w:hAnsi="Times New Roman" w:cs="Times New Roman"/>
        </w:rPr>
        <w:t xml:space="preserve">, it becomes an extension of Allen’s phylogenetic entropy and </w:t>
      </w:r>
      <w:r w:rsidRPr="00D75A98">
        <w:rPr>
          <w:rFonts w:ascii="Times New Roman" w:eastAsiaTheme="minorEastAsia" w:hAnsi="Times New Roman" w:cs="Times New Roman"/>
          <w:i/>
          <w:iCs/>
        </w:rPr>
        <w:t>q=2</w:t>
      </w:r>
      <w:r w:rsidRPr="00D75A98">
        <w:rPr>
          <w:rFonts w:ascii="Times New Roman" w:eastAsiaTheme="minorEastAsia" w:hAnsi="Times New Roman" w:cs="Times New Roman"/>
        </w:rPr>
        <w:t xml:space="preserve"> corresponds to Rao’s quadratic entropy </w:t>
      </w:r>
      <w:r w:rsidRPr="00D75A98">
        <w:rPr>
          <w:rFonts w:ascii="Times New Roman" w:eastAsiaTheme="minorEastAsia" w:hAnsi="Times New Roman" w:cs="Times New Roman"/>
        </w:rPr>
        <w:fldChar w:fldCharType="begin"/>
      </w:r>
      <w:r w:rsidR="004D2321">
        <w:rPr>
          <w:rFonts w:ascii="Times New Roman" w:eastAsiaTheme="minorEastAsia" w:hAnsi="Times New Roman" w:cs="Times New Roman"/>
        </w:rPr>
        <w:instrText xml:space="preserve"> ADDIN ZOTERO_ITEM CSL_CITATION {"citationID":"WyOaat0W","properties":{"formattedCitation":"(Chao et al., 2016)","plainCitation":"(Chao et al., 2016)","noteIndex":0},"citationItems":[{"id":215,"uris":["http://zotero.org/users/6401767/items/ALU3GJP3"],"itemData":{"id":215,"type":"chapter","abstract":"Conservation biologists need robust, intuitive mathematical tools to quantify and assess patterns and changes in biodiversity. Here we review some commonly used abundance-based species diversity measures and their phylogenetic generalizations. Most of the previous abundance-sensitive measures and their phylogenetic generalizations lack an essential property, the replication principle or doubling property. This often leads to inconsistent or counter-intuitive interpretations, especially in conservation applications. Hill numbers or the “effective number of species” obey the replication principle and thus resolve many of the interpretational problems. Hill numbers were recently extended to incorporate phylogeny; the resulting measures take into account phylogenetic differences between species while still satisfying the replication principle. We review the framework of phylogenetic diversity measures based on Hill numbers and their decomposition into independent alpha and beta components. Both additive and multiplicative decompositions lead to the same classes of normalized phylogenetic similarity or differentiation measures. These classes include multiple-assemblage phylogenetic generalizations of the Jaccard, Sørensen, Horn and Morisita-Horn measures. For two assemblages, these classes also include the commonly used UniFrac and PhyloSør indices as special cases. Our approach provides a mathematically rigorous, self-consistent, ecologically meaningful set of tools for conservationists who must assess the phylogenetic diversity and complementarity of potential protected areas. Our framework is applied to a real dataset to illustrate (i) how to use phylogenetic diversity profiles to completely convey species abundances and phylogenetic information among species in an assemblage; and (ii) how to use phylogenetic similarity (or differentiation) profiles to assess phylogenetic resemblance or difference among multiple assemblages.","collection-title":"Topics in Biodiversity and Conservation","container-title":"Biodiversity Conservation and Phylogenetic Systematics: Preserving our evolutionary heritage in an extinction crisis","event-place":"Cham","ISBN":"978-3-319-22461-9","language":"en","note":"DOI: 10.1007/978-3-319-22461-9_8","page":"141-172","publisher":"Springer International Publishing","publisher-place":"Cham","source":"Springer Link","title":"Phylogenetic Diversity Measures and Their Decomposition: A Framework Based on Hill Numbers","title-short":"Phylogenetic Diversity Measures and Their Decomposition","URL":"https://doi.org/10.1007/978-3-319-22461-9_8","author":[{"family":"Chao","given":"Anne"},{"family":"Chiu","given":"Chun-Huo"},{"family":"Jost","given":"Lou"}],"editor":[{"family":"Pellens","given":"Roseli"},{"family":"Grandcolas","given":"Philippe"}],"accessed":{"date-parts":[["2020",8,10]]},"issued":{"date-parts":[["2016"]]}}}],"schema":"https://github.com/citation-style-language/schema/raw/master/csl-citation.json"} </w:instrText>
      </w:r>
      <w:r w:rsidRPr="00D75A98">
        <w:rPr>
          <w:rFonts w:ascii="Times New Roman" w:eastAsiaTheme="minorEastAsia" w:hAnsi="Times New Roman" w:cs="Times New Roman"/>
        </w:rPr>
        <w:fldChar w:fldCharType="separate"/>
      </w:r>
      <w:r w:rsidR="004D2321">
        <w:rPr>
          <w:rFonts w:ascii="Times New Roman" w:eastAsiaTheme="minorEastAsia" w:hAnsi="Times New Roman" w:cs="Times New Roman"/>
          <w:noProof/>
        </w:rPr>
        <w:t>(Chao et al., 2016)</w:t>
      </w:r>
      <w:r w:rsidRPr="00D75A98">
        <w:rPr>
          <w:rFonts w:ascii="Times New Roman" w:eastAsiaTheme="minorEastAsia" w:hAnsi="Times New Roman" w:cs="Times New Roman"/>
        </w:rPr>
        <w:fldChar w:fldCharType="end"/>
      </w:r>
      <w:r w:rsidRPr="00D75A98">
        <w:rPr>
          <w:rFonts w:ascii="Times New Roman" w:eastAsiaTheme="minorEastAsia" w:hAnsi="Times New Roman" w:cs="Times New Roman"/>
        </w:rPr>
        <w:t xml:space="preserve">. </w:t>
      </w:r>
      <w:r w:rsidRPr="00D75A98">
        <w:rPr>
          <w:rFonts w:ascii="Times New Roman" w:hAnsi="Times New Roman" w:cs="Times New Roman"/>
        </w:rPr>
        <w:t>To estimate alpha diversity, we rarefied each sample to the lowest read count (2,354 reads) and obtained Hill Number estimates (</w:t>
      </w:r>
      <w:r w:rsidRPr="00D75A98">
        <w:rPr>
          <w:rFonts w:ascii="Times New Roman" w:hAnsi="Times New Roman" w:cs="Times New Roman"/>
          <w:i/>
          <w:iCs/>
        </w:rPr>
        <w:t>q=0</w:t>
      </w:r>
      <w:r w:rsidRPr="00D75A98">
        <w:rPr>
          <w:rFonts w:ascii="Times New Roman" w:hAnsi="Times New Roman" w:cs="Times New Roman"/>
        </w:rPr>
        <w:t xml:space="preserve">, </w:t>
      </w:r>
      <w:r w:rsidRPr="00D75A98">
        <w:rPr>
          <w:rFonts w:ascii="Times New Roman" w:hAnsi="Times New Roman" w:cs="Times New Roman"/>
          <w:i/>
          <w:iCs/>
        </w:rPr>
        <w:t>q=1</w:t>
      </w:r>
      <w:r w:rsidRPr="00D75A98">
        <w:rPr>
          <w:rFonts w:ascii="Times New Roman" w:hAnsi="Times New Roman" w:cs="Times New Roman"/>
        </w:rPr>
        <w:t xml:space="preserve">, and </w:t>
      </w:r>
      <w:r w:rsidRPr="00D75A98">
        <w:rPr>
          <w:rFonts w:ascii="Times New Roman" w:hAnsi="Times New Roman" w:cs="Times New Roman"/>
          <w:i/>
          <w:iCs/>
        </w:rPr>
        <w:t>q=2</w:t>
      </w:r>
      <w:r w:rsidRPr="00D75A98">
        <w:rPr>
          <w:rFonts w:ascii="Times New Roman" w:hAnsi="Times New Roman" w:cs="Times New Roman"/>
        </w:rPr>
        <w:t xml:space="preserve">) for each of 100 rarefactions and used the mean for statistical comparisons. To compare alpha diversity between paired samples, we used a paired Wilcoxon test in the </w:t>
      </w:r>
      <w:proofErr w:type="spellStart"/>
      <w:r w:rsidRPr="00D75A98">
        <w:rPr>
          <w:rFonts w:ascii="Times New Roman" w:hAnsi="Times New Roman" w:cs="Times New Roman"/>
        </w:rPr>
        <w:t>rstatix</w:t>
      </w:r>
      <w:proofErr w:type="spellEnd"/>
      <w:r w:rsidRPr="00D75A98">
        <w:rPr>
          <w:rFonts w:ascii="Times New Roman" w:hAnsi="Times New Roman" w:cs="Times New Roman"/>
        </w:rPr>
        <w:t xml:space="preserve"> package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{"citationID":"QPPst9cZ","properties":{"formattedCitation":"(Kassambara, 2020)","plainCitation":"(Kassambara, 2020)","noteIndex":0},"citationItems":[{"id":226,"uris":["http://zotero.org/users/6401767/items/L9QJBQ9K"],"itemData":{"id":226,"type":"software","title":"rstatix: Pipe-Friendly Framework for Basic Statistical Tests.","URL":"https://CRAN.R-project.org/package=rstatix","version":"R package version 0.6.0","author":[{"family":"Kassambara","given":"Alboukadel"}],"issued":{"date-parts":[["2020"]]}}}],"schema":"https://github.com/citation-style-language/schema/raw/master/csl-citation.json"}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(Kassambara, 2020)</w:t>
      </w:r>
      <w:r w:rsidRPr="00D75A98">
        <w:rPr>
          <w:rFonts w:ascii="Times New Roman" w:hAnsi="Times New Roman" w:cs="Times New Roman"/>
        </w:rPr>
        <w:fldChar w:fldCharType="end"/>
      </w:r>
      <w:r w:rsidRPr="00D75A98">
        <w:rPr>
          <w:rFonts w:ascii="Times New Roman" w:hAnsi="Times New Roman" w:cs="Times New Roman"/>
        </w:rPr>
        <w:t>.</w:t>
      </w:r>
    </w:p>
    <w:p w14:paraId="7D504393" w14:textId="44D2181C" w:rsidR="009E616B" w:rsidRPr="00491D83" w:rsidRDefault="009E616B" w:rsidP="00933028">
      <w:pPr>
        <w:pStyle w:val="Heading3"/>
        <w:rPr>
          <w:rFonts w:ascii="Times New Roman" w:hAnsi="Times New Roman" w:cs="Times New Roman"/>
          <w:b w:val="0"/>
          <w:bCs w:val="0"/>
          <w:i w:val="0"/>
        </w:rPr>
      </w:pPr>
      <w:bookmarkStart w:id="63" w:name="_Toc165028068"/>
      <w:r w:rsidRPr="00491D83">
        <w:rPr>
          <w:rFonts w:ascii="Times New Roman" w:hAnsi="Times New Roman" w:cs="Times New Roman"/>
          <w:b w:val="0"/>
          <w:bCs w:val="0"/>
        </w:rPr>
        <w:t xml:space="preserve">Null </w:t>
      </w:r>
      <w:r w:rsidR="008A6662" w:rsidRPr="00491D83">
        <w:rPr>
          <w:rFonts w:ascii="Times New Roman" w:hAnsi="Times New Roman" w:cs="Times New Roman"/>
          <w:b w:val="0"/>
          <w:bCs w:val="0"/>
        </w:rPr>
        <w:t>m</w:t>
      </w:r>
      <w:r w:rsidRPr="00491D83">
        <w:rPr>
          <w:rFonts w:ascii="Times New Roman" w:hAnsi="Times New Roman" w:cs="Times New Roman"/>
          <w:b w:val="0"/>
          <w:bCs w:val="0"/>
        </w:rPr>
        <w:t xml:space="preserve">odel for </w:t>
      </w:r>
      <w:r w:rsidR="008A6662" w:rsidRPr="00491D83">
        <w:rPr>
          <w:rFonts w:ascii="Times New Roman" w:hAnsi="Times New Roman" w:cs="Times New Roman"/>
          <w:b w:val="0"/>
          <w:bCs w:val="0"/>
        </w:rPr>
        <w:t>c</w:t>
      </w:r>
      <w:r w:rsidRPr="00491D83">
        <w:rPr>
          <w:rFonts w:ascii="Times New Roman" w:hAnsi="Times New Roman" w:cs="Times New Roman"/>
          <w:b w:val="0"/>
          <w:bCs w:val="0"/>
        </w:rPr>
        <w:t xml:space="preserve">ommunity </w:t>
      </w:r>
      <w:r w:rsidR="008A6662" w:rsidRPr="00491D83">
        <w:rPr>
          <w:rFonts w:ascii="Times New Roman" w:hAnsi="Times New Roman" w:cs="Times New Roman"/>
          <w:b w:val="0"/>
          <w:bCs w:val="0"/>
        </w:rPr>
        <w:t>a</w:t>
      </w:r>
      <w:r w:rsidRPr="00491D83">
        <w:rPr>
          <w:rFonts w:ascii="Times New Roman" w:hAnsi="Times New Roman" w:cs="Times New Roman"/>
          <w:b w:val="0"/>
          <w:bCs w:val="0"/>
        </w:rPr>
        <w:t>ssembly</w:t>
      </w:r>
      <w:bookmarkEnd w:id="63"/>
    </w:p>
    <w:p w14:paraId="0B3D577D" w14:textId="7EB0A4CD" w:rsidR="009E616B" w:rsidRPr="00D75A98" w:rsidRDefault="009E616B" w:rsidP="0030715E">
      <w:pPr>
        <w:spacing w:line="360" w:lineRule="auto"/>
        <w:ind w:firstLine="720"/>
        <w:rPr>
          <w:rFonts w:ascii="Times New Roman" w:hAnsi="Times New Roman" w:cs="Times New Roman"/>
        </w:rPr>
      </w:pPr>
      <w:r w:rsidRPr="00D75A98">
        <w:rPr>
          <w:rFonts w:ascii="Times New Roman" w:hAnsi="Times New Roman" w:cs="Times New Roman"/>
        </w:rPr>
        <w:t xml:space="preserve">To distinguish diversifying or homogenizing processes from random assembly and drift, we used the approach </w:t>
      </w:r>
      <w:r w:rsidRPr="004D2321">
        <w:rPr>
          <w:rFonts w:ascii="Times New Roman" w:hAnsi="Times New Roman" w:cs="Times New Roman"/>
        </w:rPr>
        <w:t>of Stegen et al.</w:t>
      </w:r>
      <w:r w:rsidRPr="00D75A98">
        <w:rPr>
          <w:rFonts w:ascii="Times New Roman" w:hAnsi="Times New Roman" w:cs="Times New Roman"/>
        </w:rPr>
        <w:t xml:space="preserve"> </w:t>
      </w:r>
      <w:r w:rsidR="005B5617">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{"citationID":"a14hqamp74i","properties":{"formattedCitation":"(J. C. Stegen et al., 2013)","plainCitation":"(J. C. Stegen et al., 2013)","dontUpdate":true,"noteIndex":0},"citationItems":[{"id":533,"uris":["http://zotero.org/users/6401767/items/CZFRMHAY"],"itemData":{"id":533,"type":"article-journal","abstract":"Spatial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CB244F">
        <w:rPr>
          <w:rFonts w:ascii="Cambria Math" w:hAnsi="Cambria Math" w:cs="Cambria Math"/>
        </w:rPr>
        <w:instrText>∼</w:instrText>
      </w:r>
      <w:r w:rsidR="00CB244F">
        <w:rPr>
          <w:rFonts w:ascii="Times New Roman" w:hAnsi="Times New Roman" w:cs="Times New Roman"/>
        </w:rPr>
        <w:instrText xml:space="preserve">25% of spatial turnover in community composition; (ii) in deeper, finer-grained sediments, Selection is strong (governing </w:instrText>
      </w:r>
      <w:r w:rsidR="00CB244F">
        <w:rPr>
          <w:rFonts w:ascii="Cambria Math" w:hAnsi="Cambria Math" w:cs="Cambria Math"/>
        </w:rPr>
        <w:instrText>∼</w:instrText>
      </w:r>
      <w:r w:rsidR="00CB244F">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CB244F">
        <w:rPr>
          <w:rFonts w:ascii="Cambria Math" w:hAnsi="Cambria Math" w:cs="Cambria Math"/>
        </w:rPr>
        <w:instrText>∼</w:instrText>
      </w:r>
      <w:r w:rsidR="00CB244F">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L."},{"family":"Konopka","given":"Allan"}],"issued":{"date-parts":[["2013",11]]}}}],"schema":"https://github.com/citation-style-language/schema/raw/master/csl-citation.json"} </w:instrText>
      </w:r>
      <w:r w:rsidR="005B5617">
        <w:rPr>
          <w:rFonts w:ascii="Times New Roman" w:hAnsi="Times New Roman" w:cs="Times New Roman"/>
        </w:rPr>
        <w:fldChar w:fldCharType="separate"/>
      </w:r>
      <w:r w:rsidR="004D2321">
        <w:rPr>
          <w:rFonts w:ascii="Times New Roman" w:hAnsi="Times New Roman" w:cs="Times New Roman"/>
        </w:rPr>
        <w:t>(2013)</w:t>
      </w:r>
      <w:r w:rsidR="005B5617">
        <w:rPr>
          <w:rFonts w:ascii="Times New Roman" w:hAnsi="Times New Roman" w:cs="Times New Roman"/>
        </w:rPr>
        <w:fldChar w:fldCharType="end"/>
      </w:r>
      <w:r w:rsidRPr="00D75A98">
        <w:rPr>
          <w:rFonts w:ascii="Times New Roman" w:hAnsi="Times New Roman" w:cs="Times New Roman"/>
        </w:rPr>
        <w:t>, which incorporates phylogenetic relatedness and taxonomic dissimilarity in a null model context. This has been used previously to infer community assembly processes, but we adopted this framework to understand patterns of differentiation within and between groups and thus do not strictly adhere to the common verbiage associated with this analysis.  Continuous random immigration should result in microbiomes that are statistically indistinguishable from environmental samples. Random colonization and extinction should result in microbiomes that are less diverse, but still a random subset of the environmental species pool. Strong host filtering should result in significant differences between host-associated and environmental samples and strong similarities among hosts. Priority effects should result in idiosyncratic differences among host-associated communities.</w:t>
      </w:r>
    </w:p>
    <w:p w14:paraId="4B521E44" w14:textId="45D69565" w:rsidR="009E616B" w:rsidRPr="00D75A98" w:rsidRDefault="009E616B" w:rsidP="0030715E">
      <w:pPr>
        <w:spacing w:line="360" w:lineRule="auto"/>
        <w:ind w:firstLine="720"/>
        <w:rPr>
          <w:rFonts w:ascii="Times New Roman" w:hAnsi="Times New Roman" w:cs="Times New Roman"/>
        </w:rPr>
      </w:pPr>
      <w:r w:rsidRPr="00D75A98">
        <w:rPr>
          <w:rFonts w:ascii="Times New Roman" w:hAnsi="Times New Roman" w:cs="Times New Roman"/>
        </w:rPr>
        <w:t xml:space="preserve">The approach uses null models to assess whether pairwise communities differ more or less than expected from a null distribution generated through probabilistically assembled communities- first phylogenetically, and then taxonomically </w:t>
      </w:r>
      <w:r w:rsidR="005B5617">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{"citationID":"a2ai8snhphl","properties":{"formattedCitation":"(J. C. Stegen et al., 2013)","plainCitation":"(J. C. Stegen et al., 2013)","noteIndex":0},"citationItems":[{"id":533,"uris":["http://zotero.org/users/6401767/items/CZFRMHAY"],"itemData":{"id":533,"type":"article-journal","abstract":"Spatial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4D2321">
        <w:rPr>
          <w:rFonts w:ascii="Cambria Math" w:hAnsi="Cambria Math" w:cs="Cambria Math"/>
        </w:rPr>
        <w:instrText>∼</w:instrText>
      </w:r>
      <w:r w:rsidR="004D2321">
        <w:rPr>
          <w:rFonts w:ascii="Times New Roman" w:hAnsi="Times New Roman" w:cs="Times New Roman"/>
        </w:rPr>
        <w:instrText xml:space="preserve">25% of spatial turnover in community composition; (ii) in deeper, finer-grained sediments, Selection is strong (governing </w:instrText>
      </w:r>
      <w:r w:rsidR="004D2321">
        <w:rPr>
          <w:rFonts w:ascii="Cambria Math" w:hAnsi="Cambria Math" w:cs="Cambria Math"/>
        </w:rPr>
        <w:instrText>∼</w:instrText>
      </w:r>
      <w:r w:rsidR="004D2321">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4D2321">
        <w:rPr>
          <w:rFonts w:ascii="Cambria Math" w:hAnsi="Cambria Math" w:cs="Cambria Math"/>
        </w:rPr>
        <w:instrText>∼</w:instrText>
      </w:r>
      <w:r w:rsidR="004D2321">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L."},{"family":"Konopka","given":"Allan"}],"issued":{"date-parts":[["2013",11]]}}}],"schema":"https://github.com/citation-style-language/schema/raw/master/csl-citation.json"} </w:instrText>
      </w:r>
      <w:r w:rsidR="005B5617">
        <w:rPr>
          <w:rFonts w:ascii="Times New Roman" w:hAnsi="Times New Roman" w:cs="Times New Roman"/>
        </w:rPr>
        <w:fldChar w:fldCharType="separate"/>
      </w:r>
      <w:r w:rsidR="004D2321">
        <w:rPr>
          <w:rFonts w:ascii="Times New Roman" w:hAnsi="Times New Roman" w:cs="Times New Roman"/>
        </w:rPr>
        <w:t>(J. C. Stegen et al., 2013)</w:t>
      </w:r>
      <w:r w:rsidR="005B5617">
        <w:rPr>
          <w:rFonts w:ascii="Times New Roman" w:hAnsi="Times New Roman" w:cs="Times New Roman"/>
        </w:rPr>
        <w:fldChar w:fldCharType="end"/>
      </w:r>
      <w:r w:rsidRPr="00D75A98">
        <w:rPr>
          <w:rFonts w:ascii="Times New Roman" w:hAnsi="Times New Roman" w:cs="Times New Roman"/>
        </w:rPr>
        <w:t>. The mean nearest taxon index (</w:t>
      </w:r>
      <w:r w:rsidR="0036739F">
        <w:rPr>
          <w:rFonts w:ascii="Times New Roman" w:hAnsi="Times New Roman" w:cs="Times New Roman"/>
        </w:rPr>
        <w:sym w:font="Symbol" w:char="F062"/>
      </w:r>
      <w:r w:rsidRPr="00D75A98">
        <w:rPr>
          <w:rFonts w:ascii="Times New Roman" w:hAnsi="Times New Roman" w:cs="Times New Roman"/>
        </w:rPr>
        <w:t>NTI) for pairwise comparisons is evaluated by calculating the mean nearest taxon distance (</w:t>
      </w:r>
      <w:r w:rsidR="0036739F">
        <w:rPr>
          <w:rFonts w:ascii="Times New Roman" w:hAnsi="Times New Roman" w:cs="Times New Roman"/>
        </w:rPr>
        <w:sym w:font="Symbol" w:char="F062"/>
      </w:r>
      <w:r w:rsidRPr="00D75A98">
        <w:rPr>
          <w:rFonts w:ascii="Times New Roman" w:hAnsi="Times New Roman" w:cs="Times New Roman"/>
        </w:rPr>
        <w:t xml:space="preserve">MNTD) </w:t>
      </w:r>
      <w:r w:rsidR="00CE0CC9" w:rsidRPr="00D75A98">
        <w:rPr>
          <w:rFonts w:ascii="Times New Roman" w:hAnsi="Times New Roman" w:cs="Times New Roman"/>
        </w:rPr>
        <w:t>before randomizing</w:t>
      </w:r>
      <w:r w:rsidRPr="00D75A98">
        <w:rPr>
          <w:rFonts w:ascii="Times New Roman" w:hAnsi="Times New Roman" w:cs="Times New Roman"/>
        </w:rPr>
        <w:t xml:space="preserve"> communities using tip shuffling and recalculating 999 times to produce a null distribution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{"citationID":"q95kHSOl","properties":{"formattedCitation":"(J. C. Stegen et al., 2013; Webb et al., 2008)","plainCitation":"(J. C. Stegen et al., 2013; Webb et al., 2008)","noteIndex":0},"citationItems":[{"id":533,"uris":["http://zotero.org/users/6401767/items/CZFRMHAY"],"itemData":{"id":533,"type":"article-journal","abstract":"Spatial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4D2321">
        <w:rPr>
          <w:rFonts w:ascii="Cambria Math" w:hAnsi="Cambria Math" w:cs="Cambria Math"/>
        </w:rPr>
        <w:instrText>∼</w:instrText>
      </w:r>
      <w:r w:rsidR="004D2321">
        <w:rPr>
          <w:rFonts w:ascii="Times New Roman" w:hAnsi="Times New Roman" w:cs="Times New Roman"/>
        </w:rPr>
        <w:instrText xml:space="preserve">25% of spatial turnover in community composition; (ii) in deeper, finer-grained sediments, Selection is strong (governing </w:instrText>
      </w:r>
      <w:r w:rsidR="004D2321">
        <w:rPr>
          <w:rFonts w:ascii="Cambria Math" w:hAnsi="Cambria Math" w:cs="Cambria Math"/>
        </w:rPr>
        <w:instrText>∼</w:instrText>
      </w:r>
      <w:r w:rsidR="004D2321">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4D2321">
        <w:rPr>
          <w:rFonts w:ascii="Cambria Math" w:hAnsi="Cambria Math" w:cs="Cambria Math"/>
        </w:rPr>
        <w:instrText>∼</w:instrText>
      </w:r>
      <w:r w:rsidR="004D2321">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L."},{"family":"Konopka","given":"Allan"}],"issued":{"date-parts":[["2013",11]]}}},{"id":74,"uris":["http://zotero.org/users/6401767/items/937LHVQD"],"itemData":{"id":74,"type":"article-journal","abstract":"MOTIVATION: The increasing availability of phylogenetic and trait data for communities of co-occurring species has created a need for software that integrates ecological and evolutionary analyses. Capabilities: Phylocom calculates numerous metrics of phylogenetic community structure and trait similarity within communities. Hypothesis testing is implemented using several null models. Within the same framework, it measures phylogenetic signal and correlated evolution for species traits. A range of utility functions allow community and phylogenetic data manipulation, tree and trait generation, and integration into scientific workflows.\nAVAILABILITY: Open source at: http://phylodiversity.net/phylocom/.","container-title":"Bioinformatics (Oxford, England)","DOI":"10.1093/bioinformatics/btn358","ISSN":"1367-4811","issue":"18","journalAbbreviation":"Bioinformatics","language":"eng","note":"PMID: 18678590","page":"2098-2100","source":"PubMed","title":"Phylocom: software for the analysis of phylogenetic community structure and trait evolution","title-short":"Phylocom","volume":"24","author":[{"family":"Webb","given":"Campbell O."},{"family":"Ackerly","given":"David D."},{"family":"Kembel","given":"Steven W."}],"issued":{"date-parts":[["2008",9,15]]}}}],"schema":"https://github.com/citation-style-language/schema/raw/master/csl-citation.json"}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(J. C. Stegen et al., 2013; Webb et al., 2008)</w:t>
      </w:r>
      <w:r w:rsidRPr="00D75A98">
        <w:rPr>
          <w:rFonts w:ascii="Times New Roman" w:hAnsi="Times New Roman" w:cs="Times New Roman"/>
        </w:rPr>
        <w:fldChar w:fldCharType="end"/>
      </w:r>
      <w:r w:rsidRPr="00D75A98">
        <w:rPr>
          <w:rFonts w:ascii="Times New Roman" w:hAnsi="Times New Roman" w:cs="Times New Roman"/>
        </w:rPr>
        <w:t xml:space="preserve">. The deviation from the null distribution can then be used to identify pairwise comparisons </w:t>
      </w:r>
      <w:r w:rsidRPr="00D75A98">
        <w:rPr>
          <w:rFonts w:ascii="Times New Roman" w:hAnsi="Times New Roman" w:cs="Times New Roman"/>
        </w:rPr>
        <w:lastRenderedPageBreak/>
        <w:t>with strong phylogenetic (dis)similarity. Values of |</w:t>
      </w:r>
      <w:r w:rsidRPr="00D75A98">
        <w:rPr>
          <w:rFonts w:ascii="Times New Roman" w:hAnsi="Times New Roman" w:cs="Times New Roman"/>
        </w:rPr>
        <w:sym w:font="Symbol" w:char="F062"/>
      </w:r>
      <w:r w:rsidRPr="00D75A98">
        <w:rPr>
          <w:rFonts w:ascii="Times New Roman" w:hAnsi="Times New Roman" w:cs="Times New Roman"/>
        </w:rPr>
        <w:t xml:space="preserve">NTI| &gt;2 (two deviations from null distribution) imply strong phylogenetic ties, with </w:t>
      </w:r>
      <w:r w:rsidRPr="00D75A98">
        <w:rPr>
          <w:rFonts w:ascii="Times New Roman" w:hAnsi="Times New Roman" w:cs="Times New Roman"/>
        </w:rPr>
        <w:sym w:font="Symbol" w:char="F062"/>
      </w:r>
      <w:r w:rsidRPr="00D75A98">
        <w:rPr>
          <w:rFonts w:ascii="Times New Roman" w:hAnsi="Times New Roman" w:cs="Times New Roman"/>
        </w:rPr>
        <w:t xml:space="preserve">NTI &gt; 2 indicating phylogenetically different, and </w:t>
      </w:r>
      <w:r w:rsidRPr="00D75A98">
        <w:rPr>
          <w:rFonts w:ascii="Times New Roman" w:hAnsi="Times New Roman" w:cs="Times New Roman"/>
        </w:rPr>
        <w:sym w:font="Symbol" w:char="F062"/>
      </w:r>
      <w:r w:rsidRPr="00D75A98">
        <w:rPr>
          <w:rFonts w:ascii="Times New Roman" w:hAnsi="Times New Roman" w:cs="Times New Roman"/>
        </w:rPr>
        <w:t>NTI &lt; -2 indicate strong phylogenetic similarity. Alternatively, values of |</w:t>
      </w:r>
      <w:r w:rsidRPr="00D75A98">
        <w:rPr>
          <w:rFonts w:ascii="Times New Roman" w:hAnsi="Times New Roman" w:cs="Times New Roman"/>
        </w:rPr>
        <w:sym w:font="Symbol" w:char="F062"/>
      </w:r>
      <w:r w:rsidRPr="00D75A98">
        <w:rPr>
          <w:rFonts w:ascii="Times New Roman" w:hAnsi="Times New Roman" w:cs="Times New Roman"/>
        </w:rPr>
        <w:t>NTI| &lt; 2 fall within the expected range of the null distribution, and differences can be assessed taxonomically.</w:t>
      </w:r>
    </w:p>
    <w:p w14:paraId="285FF7F6" w14:textId="14FE03D3" w:rsidR="009E616B" w:rsidRPr="00D75A98" w:rsidRDefault="009E616B" w:rsidP="0030715E">
      <w:pPr>
        <w:spacing w:line="360" w:lineRule="auto"/>
        <w:ind w:firstLine="720"/>
        <w:rPr>
          <w:rFonts w:ascii="Times New Roman" w:hAnsi="Times New Roman" w:cs="Times New Roman"/>
        </w:rPr>
      </w:pPr>
      <w:r w:rsidRPr="00D75A98">
        <w:rPr>
          <w:rFonts w:ascii="Times New Roman" w:hAnsi="Times New Roman" w:cs="Times New Roman"/>
        </w:rPr>
        <w:t xml:space="preserve">The </w:t>
      </w:r>
      <w:proofErr w:type="spellStart"/>
      <w:r w:rsidRPr="00D75A98">
        <w:rPr>
          <w:rFonts w:ascii="Times New Roman" w:hAnsi="Times New Roman" w:cs="Times New Roman"/>
        </w:rPr>
        <w:t>RC</w:t>
      </w:r>
      <w:r w:rsidRPr="00D75A98">
        <w:rPr>
          <w:rFonts w:ascii="Times New Roman" w:hAnsi="Times New Roman" w:cs="Times New Roman"/>
          <w:vertAlign w:val="subscript"/>
        </w:rPr>
        <w:t>Bray</w:t>
      </w:r>
      <w:proofErr w:type="spellEnd"/>
      <w:r w:rsidRPr="00D75A98">
        <w:rPr>
          <w:rFonts w:ascii="Times New Roman" w:hAnsi="Times New Roman" w:cs="Times New Roman"/>
        </w:rPr>
        <w:t xml:space="preserve"> is a relative-abundance-based extension of the Raup-Crick </w:t>
      </w:r>
      <w:r w:rsidR="00933028">
        <w:rPr>
          <w:rFonts w:ascii="Times New Roman" w:hAnsi="Times New Roman" w:cs="Times New Roman"/>
        </w:rPr>
        <w:t>(</w:t>
      </w:r>
      <w:r w:rsidR="00933028">
        <w:rPr>
          <w:rFonts w:ascii="Times New Roman" w:hAnsi="Times New Roman" w:cs="Times New Roman"/>
        </w:rPr>
        <w:sym w:font="Symbol" w:char="F062"/>
      </w:r>
      <w:r w:rsidR="00933028" w:rsidRPr="00933028">
        <w:rPr>
          <w:rFonts w:ascii="Times New Roman" w:hAnsi="Times New Roman" w:cs="Times New Roman"/>
          <w:vertAlign w:val="subscript"/>
        </w:rPr>
        <w:t>RC</w:t>
      </w:r>
      <w:r w:rsidR="00933028">
        <w:rPr>
          <w:rFonts w:ascii="Times New Roman" w:hAnsi="Times New Roman" w:cs="Times New Roman"/>
        </w:rPr>
        <w:t xml:space="preserve">) </w:t>
      </w:r>
      <w:r w:rsidRPr="00D75A98">
        <w:rPr>
          <w:rFonts w:ascii="Times New Roman" w:hAnsi="Times New Roman" w:cs="Times New Roman"/>
        </w:rPr>
        <w:t xml:space="preserve">index of pairwise </w:t>
      </w:r>
      <w:r w:rsidRPr="00D75A98">
        <w:rPr>
          <w:rFonts w:ascii="Times New Roman" w:hAnsi="Times New Roman" w:cs="Times New Roman"/>
        </w:rPr>
        <w:sym w:font="Symbol" w:char="F062"/>
      </w:r>
      <w:r w:rsidRPr="00D75A98">
        <w:rPr>
          <w:rFonts w:ascii="Times New Roman" w:hAnsi="Times New Roman" w:cs="Times New Roman"/>
        </w:rPr>
        <w:t xml:space="preserve"> dissimilarity, which uses randomizations of a ‘species pool’ keeping </w:t>
      </w:r>
      <w:r w:rsidRPr="00D75A98">
        <w:rPr>
          <w:rFonts w:ascii="Times New Roman" w:hAnsi="Times New Roman" w:cs="Times New Roman"/>
        </w:rPr>
        <w:sym w:font="Symbol" w:char="F061"/>
      </w:r>
      <w:r w:rsidRPr="00D75A98">
        <w:rPr>
          <w:rFonts w:ascii="Times New Roman" w:hAnsi="Times New Roman" w:cs="Times New Roman"/>
        </w:rPr>
        <w:t xml:space="preserve"> diversity consistent in each pairwise comparison of samples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{"citationID":"0E73bEvv","properties":{"formattedCitation":"(Chase et al., 2011; J. C. Stegen et al., 2013)","plainCitation":"(Chase et al., 2011; J. C. Stegen et al., 2013)","noteIndex":0},"citationItems":[{"id":518,"uris":["http://zotero.org/users/6401767/items/WZPS7QW4"],"itemData":{"id":518,"type":"article-journal","abstract":"β-diversity represents the compositional variation among communities from site-to-site, linking local (α-diversity) and regional (γ-diversity). Researchers often desire to compare values of β-diversity across localities or experimental treatments, and to use this comparison to infer possible mechanisms of community assembly. However, the majority of metrics used to estimate β-diversity, including most dissimilarity metrics (e.g., Jaccard's and Sørenson's dissimilarity index), can vary simply because of changes in the other two diversity components (α or γ-diversity). Here, we overview the utility of taking a null model approach that allows one to discern whether variation in the measured dissimilarity among communities results more from changes in the underlying structure by which communities vary, or instead simply due to difference in α-diversity among localities or experimental treatments. We illustrate one particular approach, originally developed by Raup and Crick (1979) in the paleontological literature, which creates a re-scaled probability metric ranging from −1 to 1, indicating whether local communities are more dissimilar (approaching 1), as dissimilar (approaching 0), or less dissimilar (approaching −1), than expected by random chance. The value of this metric provides some indication of the possible underlying mechanisms of community assembly, in particular the degree to which deterministic processes create communities that deviate from those based on stochastic (null) expectations. We demonstrate the utility of this metric when compared to analyses of Jaccard's dissimilarity index with case studies from disparate empirical systems (coral reefs and freshwater ponds) that differ in the degree to which disturbance altered α-diversity, as well as the selectivity by which disturbance acted on members of the community.","container-title":"Ecosphere","DOI":"https://doi.org/10.1890/ES10-00117.1","ISSN":"2150-8925","issue":"2","language":"en","note":"_eprint: https://esajournals.onlinelibrary.wiley.com/doi/pdf/10.1890/ES10-00117.1","page":"art24","source":"Wiley Online Library","title":"Using null models to disentangle variation in community dissimilarity from variation in α-diversity","volume":"2","author":[{"family":"Chase","given":"Jonathan M."},{"family":"Kraft","given":"Nathan J. B."},{"family":"Smith","given":"Kevin G."},{"family":"Vellend","given":"Mark"},{"family":"Inouye","given":"Brian D."}],"issued":{"date-parts":[["2011"]]}}},{"id":533,"uris":["http://zotero.org/users/6401767/items/CZFRMHAY"],"itemData":{"id":533,"type":"article-journal","abstract":"Spatial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4D2321">
        <w:rPr>
          <w:rFonts w:ascii="Cambria Math" w:hAnsi="Cambria Math" w:cs="Cambria Math"/>
        </w:rPr>
        <w:instrText>∼</w:instrText>
      </w:r>
      <w:r w:rsidR="004D2321">
        <w:rPr>
          <w:rFonts w:ascii="Times New Roman" w:hAnsi="Times New Roman" w:cs="Times New Roman"/>
        </w:rPr>
        <w:instrText xml:space="preserve">25% of spatial turnover in community composition; (ii) in deeper, finer-grained sediments, Selection is strong (governing </w:instrText>
      </w:r>
      <w:r w:rsidR="004D2321">
        <w:rPr>
          <w:rFonts w:ascii="Cambria Math" w:hAnsi="Cambria Math" w:cs="Cambria Math"/>
        </w:rPr>
        <w:instrText>∼</w:instrText>
      </w:r>
      <w:r w:rsidR="004D2321">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4D2321">
        <w:rPr>
          <w:rFonts w:ascii="Cambria Math" w:hAnsi="Cambria Math" w:cs="Cambria Math"/>
        </w:rPr>
        <w:instrText>∼</w:instrText>
      </w:r>
      <w:r w:rsidR="004D2321">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(Chase et al., 2011; J. C. Stegen et al., 2013)</w:t>
      </w:r>
      <w:r w:rsidRPr="00D75A98">
        <w:rPr>
          <w:rFonts w:ascii="Times New Roman" w:hAnsi="Times New Roman" w:cs="Times New Roman"/>
        </w:rPr>
        <w:fldChar w:fldCharType="end"/>
      </w:r>
      <w:r w:rsidRPr="00D75A98">
        <w:rPr>
          <w:rFonts w:ascii="Times New Roman" w:hAnsi="Times New Roman" w:cs="Times New Roman"/>
        </w:rPr>
        <w:t xml:space="preserve">. The resulting value can be interpreted as the difference between two samples not explained by differences in </w:t>
      </w:r>
      <w:r w:rsidRPr="00D75A98">
        <w:rPr>
          <w:rFonts w:ascii="Times New Roman" w:hAnsi="Times New Roman" w:cs="Times New Roman"/>
        </w:rPr>
        <w:sym w:font="Symbol" w:char="F061"/>
      </w:r>
      <w:r w:rsidRPr="00D75A98">
        <w:rPr>
          <w:rFonts w:ascii="Times New Roman" w:hAnsi="Times New Roman" w:cs="Times New Roman"/>
        </w:rPr>
        <w:t xml:space="preserve"> diversity. In the </w:t>
      </w:r>
      <w:proofErr w:type="spellStart"/>
      <w:r w:rsidRPr="00D75A98">
        <w:rPr>
          <w:rFonts w:ascii="Times New Roman" w:hAnsi="Times New Roman" w:cs="Times New Roman"/>
        </w:rPr>
        <w:t>RC</w:t>
      </w:r>
      <w:r w:rsidRPr="00D75A98">
        <w:rPr>
          <w:rFonts w:ascii="Times New Roman" w:hAnsi="Times New Roman" w:cs="Times New Roman"/>
          <w:vertAlign w:val="subscript"/>
        </w:rPr>
        <w:t>Bray</w:t>
      </w:r>
      <w:proofErr w:type="spellEnd"/>
      <w:r w:rsidRPr="00D75A98">
        <w:rPr>
          <w:rFonts w:ascii="Times New Roman" w:hAnsi="Times New Roman" w:cs="Times New Roman"/>
        </w:rPr>
        <w:t xml:space="preserve"> format, alpha diversity for each randomized sample is drawn from a community pool, where the probability of drawing a given taxon is dependent on the number of samples containing that taxon. Once the random taxon list has been obtained, relative abundance is assembled, with the relative abundance being the relative abundance in the metacommunity of selected taxa. The number of iterated dissimilarities greater than observed plus ½ those which are equal are divided by the total number of iterations to produce a value, which can then be standardized between -1 and 1. Pairwise comparisons with a value less than -0.95 </w:t>
      </w:r>
      <w:proofErr w:type="gramStart"/>
      <w:r w:rsidRPr="00D75A98">
        <w:rPr>
          <w:rFonts w:ascii="Times New Roman" w:hAnsi="Times New Roman" w:cs="Times New Roman"/>
        </w:rPr>
        <w:t>are considered to be</w:t>
      </w:r>
      <w:proofErr w:type="gramEnd"/>
      <w:r w:rsidRPr="00D75A98">
        <w:rPr>
          <w:rFonts w:ascii="Times New Roman" w:hAnsi="Times New Roman" w:cs="Times New Roman"/>
        </w:rPr>
        <w:t xml:space="preserve"> more similar than expected under a null distribution, while comparisons &gt;0.95 are considered to be more dissimilar than expected under a null distribution. Values &lt; |0.95| fall into the category of undetermined, or not any more taxonomically similar/different than a probabilistically assembled community. </w:t>
      </w:r>
    </w:p>
    <w:p w14:paraId="57493090" w14:textId="09467A9F" w:rsidR="009E616B" w:rsidRPr="00D75A98" w:rsidRDefault="009E616B" w:rsidP="0030715E">
      <w:pPr>
        <w:spacing w:line="360" w:lineRule="auto"/>
        <w:ind w:firstLine="720"/>
        <w:rPr>
          <w:rFonts w:ascii="Times New Roman" w:hAnsi="Times New Roman" w:cs="Times New Roman"/>
        </w:rPr>
      </w:pPr>
      <w:r w:rsidRPr="00D75A98">
        <w:rPr>
          <w:rFonts w:ascii="Times New Roman" w:hAnsi="Times New Roman" w:cs="Times New Roman"/>
        </w:rPr>
        <w:t xml:space="preserve">Both BNTI and </w:t>
      </w:r>
      <w:r w:rsidR="00933028">
        <w:rPr>
          <w:rFonts w:ascii="Times New Roman" w:hAnsi="Times New Roman" w:cs="Times New Roman"/>
        </w:rPr>
        <w:sym w:font="Symbol" w:char="F062"/>
      </w:r>
      <w:r w:rsidRPr="00D75A98">
        <w:rPr>
          <w:rFonts w:ascii="Times New Roman" w:hAnsi="Times New Roman" w:cs="Times New Roman"/>
          <w:vertAlign w:val="subscript"/>
        </w:rPr>
        <w:t>RC</w:t>
      </w:r>
      <w:r w:rsidRPr="00D75A98">
        <w:rPr>
          <w:rFonts w:ascii="Times New Roman" w:hAnsi="Times New Roman" w:cs="Times New Roman"/>
        </w:rPr>
        <w:t xml:space="preserve"> were calculated using the </w:t>
      </w:r>
      <w:proofErr w:type="spellStart"/>
      <w:r w:rsidRPr="00D75A98">
        <w:rPr>
          <w:rFonts w:ascii="Times New Roman" w:hAnsi="Times New Roman" w:cs="Times New Roman"/>
        </w:rPr>
        <w:t>iCAMP</w:t>
      </w:r>
      <w:proofErr w:type="spellEnd"/>
      <w:r w:rsidRPr="00D75A98">
        <w:rPr>
          <w:rFonts w:ascii="Times New Roman" w:hAnsi="Times New Roman" w:cs="Times New Roman"/>
        </w:rPr>
        <w:t xml:space="preserve"> package in R 4.2.0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{"citationID":"GhPL7wRB","properties":{"formattedCitation":"(Ning, 2022; R Core Team, 2022)","plainCitation":"(Ning, 2022; R Core Team, 2022)","noteIndex":0},"citationItems":[{"id":73,"uris":["http://zotero.org/users/6401767/items/R586JSMC"],"itemData":{"id":73,"type":"software","abstract":"To implement a general framework to quantitatively infer Community Assembly Mechanisms by Phylogenetic-bin-based null model analysis, abbreviated as 'iCAMP' (Ning et al 2020) &lt;doi:10.1038/s41467-020-18560-z&gt;. It can quantitatively assess the relative importance of different community assembly processes, such as selection, dispersal, and drift, for both communities and each phylogenetic group ('bin'). Each bin usually consists of different taxa from a family or an order. The package also provides functions to implement some other published methods, including neutral taxa percentage (Burns et al 2016) &lt;doi:10.1038/ismej.2015.142&gt; based on neutral theory model and quantifying assembly processes based on entire-community null models ('QPEN', Stegen et al 2013) &lt;doi:10.1038/ismej.2013.93&gt;. It also includes some handy functions, particularly for big datasets, such as phylogenetic and taxonomic null model analysis at both community and bin levels, between-taxa niche difference and phylogenetic distance calculation, phylogenetic signal test within phylogenetic groups, midpoint root of big trees, etc. Version 1.3.x mainly improved the function for 'QPEN' and added function 'icamp.cate()' to summarize 'iCAMP' results for different categories of taxa (e.g. core versus rare taxa).","license":"GPL-2","source":"R-Packages","title":"iCAMP: Infer Community Assembly Mechanisms by Phylogenetic-Bin-Based Null Model Analysis","title-short":"iCAMP","URL":"https://cran.r-project.org/web/packages/iCAMP/index.html","version":"1.5.12","author":[{"family":"Ning","given":"Daliang"}],"accessed":{"date-parts":[["2023",6,1]]},"issued":{"date-parts":[["2022",6,1]]}}},{"id":72,"uris":["http://zotero.org/users/6401767/items/EUBIKDIJ"],"itemData":{"id":72,"type":"software","event-place":"Vienna, Austria","publisher":"R Foundation for Statistical Computing","publisher-place":"Vienna, Austria","title":"R: A language and environment for statistical computing.","URL":"https://www.R-project.org/","author":[{"family":"R Core Team","given":""}],"issued":{"date-parts":[["2022"]]}}}],"schema":"https://github.com/citation-style-language/schema/raw/master/csl-citation.json"}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(Ning, 2022; R Core Team, 2022)</w:t>
      </w:r>
      <w:r w:rsidRPr="00D75A98">
        <w:rPr>
          <w:rFonts w:ascii="Times New Roman" w:hAnsi="Times New Roman" w:cs="Times New Roman"/>
        </w:rPr>
        <w:fldChar w:fldCharType="end"/>
      </w:r>
      <w:r w:rsidRPr="00D75A98">
        <w:rPr>
          <w:rFonts w:ascii="Times New Roman" w:hAnsi="Times New Roman" w:cs="Times New Roman"/>
        </w:rPr>
        <w:t xml:space="preserve">. We modified existing functions in </w:t>
      </w:r>
      <w:proofErr w:type="spellStart"/>
      <w:r w:rsidRPr="00D75A98">
        <w:rPr>
          <w:rFonts w:ascii="Times New Roman" w:hAnsi="Times New Roman" w:cs="Times New Roman"/>
        </w:rPr>
        <w:t>iCAMP</w:t>
      </w:r>
      <w:proofErr w:type="spellEnd"/>
      <w:r w:rsidRPr="00D75A98">
        <w:rPr>
          <w:rFonts w:ascii="Times New Roman" w:hAnsi="Times New Roman" w:cs="Times New Roman"/>
        </w:rPr>
        <w:t xml:space="preserve"> to produce a </w:t>
      </w:r>
      <w:proofErr w:type="spellStart"/>
      <w:r w:rsidRPr="00D75A98">
        <w:rPr>
          <w:rFonts w:ascii="Times New Roman" w:hAnsi="Times New Roman" w:cs="Times New Roman"/>
        </w:rPr>
        <w:t>RC</w:t>
      </w:r>
      <w:r w:rsidRPr="00D75A98">
        <w:rPr>
          <w:rFonts w:ascii="Times New Roman" w:hAnsi="Times New Roman" w:cs="Times New Roman"/>
          <w:vertAlign w:val="subscript"/>
        </w:rPr>
        <w:t>Horn</w:t>
      </w:r>
      <w:proofErr w:type="spellEnd"/>
      <w:r w:rsidRPr="00D75A98">
        <w:rPr>
          <w:rFonts w:ascii="Times New Roman" w:hAnsi="Times New Roman" w:cs="Times New Roman"/>
          <w:vertAlign w:val="subscript"/>
        </w:rPr>
        <w:t xml:space="preserve"> </w:t>
      </w:r>
      <w:r w:rsidRPr="00D75A98">
        <w:rPr>
          <w:rFonts w:ascii="Times New Roman" w:hAnsi="Times New Roman" w:cs="Times New Roman"/>
        </w:rPr>
        <w:t xml:space="preserve">as opposed to </w:t>
      </w:r>
      <w:proofErr w:type="spellStart"/>
      <w:r w:rsidRPr="00D75A98">
        <w:rPr>
          <w:rFonts w:ascii="Times New Roman" w:hAnsi="Times New Roman" w:cs="Times New Roman"/>
        </w:rPr>
        <w:t>RC</w:t>
      </w:r>
      <w:r w:rsidRPr="00D75A98">
        <w:rPr>
          <w:rFonts w:ascii="Times New Roman" w:hAnsi="Times New Roman" w:cs="Times New Roman"/>
          <w:vertAlign w:val="subscript"/>
        </w:rPr>
        <w:t>Bray</w:t>
      </w:r>
      <w:proofErr w:type="spellEnd"/>
      <w:r w:rsidRPr="00D75A98">
        <w:rPr>
          <w:rFonts w:ascii="Times New Roman" w:hAnsi="Times New Roman" w:cs="Times New Roman"/>
        </w:rPr>
        <w:t>, with the former representing the Horn (</w:t>
      </w:r>
      <w:r w:rsidRPr="00D75A98">
        <w:rPr>
          <w:rFonts w:ascii="Times New Roman" w:hAnsi="Times New Roman" w:cs="Times New Roman"/>
          <w:i/>
          <w:iCs/>
        </w:rPr>
        <w:t>q=1</w:t>
      </w:r>
      <w:r w:rsidRPr="00D75A98">
        <w:rPr>
          <w:rFonts w:ascii="Times New Roman" w:hAnsi="Times New Roman" w:cs="Times New Roman"/>
        </w:rPr>
        <w:t xml:space="preserve">) dissimilarity using relative abundance of pairwise communities. For our data, we considered the species pool to be any taxa observed within a given site, and estimated BNTI and </w:t>
      </w:r>
      <w:proofErr w:type="spellStart"/>
      <w:r w:rsidRPr="00D75A98">
        <w:rPr>
          <w:rFonts w:ascii="Times New Roman" w:hAnsi="Times New Roman" w:cs="Times New Roman"/>
        </w:rPr>
        <w:t>RC</w:t>
      </w:r>
      <w:r w:rsidRPr="00D75A98">
        <w:rPr>
          <w:rFonts w:ascii="Times New Roman" w:hAnsi="Times New Roman" w:cs="Times New Roman"/>
          <w:vertAlign w:val="subscript"/>
        </w:rPr>
        <w:t>Horn</w:t>
      </w:r>
      <w:proofErr w:type="spellEnd"/>
      <w:r w:rsidRPr="00D75A98">
        <w:rPr>
          <w:rFonts w:ascii="Times New Roman" w:hAnsi="Times New Roman" w:cs="Times New Roman"/>
        </w:rPr>
        <w:t xml:space="preserve"> on each of 50 rarefactions. Community pools (total number of available species) averaged from 3,867 to 4,554 OTUs. We then assessed each pairwise comparison of groups (salamanders to cover objects, salamanders to other salamanders, and cover object samples to other cover object samples) by calculating the proportion of comparisons falling into five categories: phylogenetically similar, taxonomically similar, phylogenetical different, taxonomically different, or random. Pairwise comparisons between </w:t>
      </w:r>
      <w:r w:rsidRPr="00D75A98">
        <w:rPr>
          <w:rFonts w:ascii="Times New Roman" w:hAnsi="Times New Roman" w:cs="Times New Roman"/>
        </w:rPr>
        <w:lastRenderedPageBreak/>
        <w:t>cover objects were also included to provide context relative to salamander comparisons with the same sample size.</w:t>
      </w:r>
    </w:p>
    <w:p w14:paraId="31AEFC30" w14:textId="363CECC1" w:rsidR="009E616B" w:rsidRPr="00491D83" w:rsidRDefault="009E616B" w:rsidP="0030715E">
      <w:pPr>
        <w:pStyle w:val="Heading3"/>
        <w:spacing w:line="360" w:lineRule="auto"/>
        <w:rPr>
          <w:rFonts w:ascii="Times New Roman" w:hAnsi="Times New Roman" w:cs="Times New Roman"/>
          <w:b w:val="0"/>
          <w:bCs w:val="0"/>
          <w:i w:val="0"/>
          <w:iCs/>
        </w:rPr>
      </w:pPr>
      <w:bookmarkStart w:id="64" w:name="_Toc165028069"/>
      <w:r w:rsidRPr="00491D83">
        <w:rPr>
          <w:rFonts w:ascii="Times New Roman" w:hAnsi="Times New Roman" w:cs="Times New Roman"/>
          <w:b w:val="0"/>
          <w:bCs w:val="0"/>
          <w:iCs/>
        </w:rPr>
        <w:t xml:space="preserve">Correlation of </w:t>
      </w:r>
      <w:r w:rsidR="008A6662" w:rsidRPr="00491D83">
        <w:rPr>
          <w:rFonts w:ascii="Times New Roman" w:hAnsi="Times New Roman" w:cs="Times New Roman"/>
          <w:b w:val="0"/>
          <w:bCs w:val="0"/>
          <w:iCs/>
        </w:rPr>
        <w:t>s</w:t>
      </w:r>
      <w:r w:rsidRPr="00491D83">
        <w:rPr>
          <w:rFonts w:ascii="Times New Roman" w:hAnsi="Times New Roman" w:cs="Times New Roman"/>
          <w:b w:val="0"/>
          <w:bCs w:val="0"/>
          <w:iCs/>
        </w:rPr>
        <w:t xml:space="preserve">hared </w:t>
      </w:r>
      <w:r w:rsidR="008A6662" w:rsidRPr="00491D83">
        <w:rPr>
          <w:rFonts w:ascii="Times New Roman" w:hAnsi="Times New Roman" w:cs="Times New Roman"/>
          <w:b w:val="0"/>
          <w:bCs w:val="0"/>
          <w:iCs/>
        </w:rPr>
        <w:t>s</w:t>
      </w:r>
      <w:r w:rsidRPr="00491D83">
        <w:rPr>
          <w:rFonts w:ascii="Times New Roman" w:hAnsi="Times New Roman" w:cs="Times New Roman"/>
          <w:b w:val="0"/>
          <w:bCs w:val="0"/>
          <w:iCs/>
        </w:rPr>
        <w:t xml:space="preserve">equences and </w:t>
      </w:r>
      <w:r w:rsidR="008A6662" w:rsidRPr="00491D83">
        <w:rPr>
          <w:rFonts w:ascii="Times New Roman" w:hAnsi="Times New Roman" w:cs="Times New Roman"/>
          <w:b w:val="0"/>
          <w:bCs w:val="0"/>
          <w:iCs/>
        </w:rPr>
        <w:t>i</w:t>
      </w:r>
      <w:r w:rsidRPr="00491D83">
        <w:rPr>
          <w:rFonts w:ascii="Times New Roman" w:hAnsi="Times New Roman" w:cs="Times New Roman"/>
          <w:b w:val="0"/>
          <w:bCs w:val="0"/>
          <w:iCs/>
        </w:rPr>
        <w:t xml:space="preserve">dentification of </w:t>
      </w:r>
      <w:r w:rsidR="008A6662" w:rsidRPr="00491D83">
        <w:rPr>
          <w:rFonts w:ascii="Times New Roman" w:hAnsi="Times New Roman" w:cs="Times New Roman"/>
          <w:b w:val="0"/>
          <w:bCs w:val="0"/>
          <w:iCs/>
        </w:rPr>
        <w:t>i</w:t>
      </w:r>
      <w:r w:rsidRPr="00491D83">
        <w:rPr>
          <w:rFonts w:ascii="Times New Roman" w:hAnsi="Times New Roman" w:cs="Times New Roman"/>
          <w:b w:val="0"/>
          <w:bCs w:val="0"/>
          <w:iCs/>
        </w:rPr>
        <w:t xml:space="preserve">ndicator </w:t>
      </w:r>
      <w:r w:rsidR="008A6662" w:rsidRPr="00491D83">
        <w:rPr>
          <w:rFonts w:ascii="Times New Roman" w:hAnsi="Times New Roman" w:cs="Times New Roman"/>
          <w:b w:val="0"/>
          <w:bCs w:val="0"/>
          <w:iCs/>
        </w:rPr>
        <w:t>s</w:t>
      </w:r>
      <w:r w:rsidRPr="00491D83">
        <w:rPr>
          <w:rFonts w:ascii="Times New Roman" w:hAnsi="Times New Roman" w:cs="Times New Roman"/>
          <w:b w:val="0"/>
          <w:bCs w:val="0"/>
          <w:iCs/>
        </w:rPr>
        <w:t>pecies</w:t>
      </w:r>
      <w:bookmarkEnd w:id="64"/>
    </w:p>
    <w:p w14:paraId="210D8A64" w14:textId="1E56DE2F" w:rsidR="009E616B" w:rsidRPr="00D75A98" w:rsidRDefault="009E616B" w:rsidP="0030715E">
      <w:pPr>
        <w:spacing w:line="360" w:lineRule="auto"/>
        <w:ind w:firstLine="720"/>
        <w:rPr>
          <w:rFonts w:ascii="Times New Roman" w:hAnsi="Times New Roman" w:cs="Times New Roman"/>
        </w:rPr>
      </w:pPr>
      <w:r w:rsidRPr="00D75A98">
        <w:rPr>
          <w:rFonts w:ascii="Times New Roman" w:hAnsi="Times New Roman" w:cs="Times New Roman"/>
        </w:rPr>
        <w:t xml:space="preserve">If environmental transmission is the dominant driver of salamander skin communities, a strong correlation is expected between relative abundance of taxa on cover objects and relative abundance on salamanders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{"citationID":"8oKFO6hR","properties":{"formattedCitation":"(Fitzpatrick &amp; Allison, 2014)","plainCitation":"(Fitzpatrick &amp; Allison, 2014)","noteIndex":0},"citationItems":[{"id":147,"uris":["http://zotero.org/users/6401767/items/SGZA38D6"],"itemData":{"id":147,"type":"article-journal","abstract":"Bacteria on salamander skin are not exactly the same as the bacteria on the logs they hide under, but the differences are surprisingly subtle.","container-title":"FEMS Microbiology Ecology","DOI":"10.1111/1574-6941.12314","ISSN":"0168-6496","issue":"3","journalAbbreviation":"FEMS Microbiol Ecol","language":"en","note":"publisher: Oxford Academic","page":"482-494","source":"academic.oup.com","title":"Similarity and differentiation between bacteria associated with skin of salamanders (Plethodon jordani) and free-living assemblages","volume":"88","author":[{"family":"Fitzpatrick","given":"Benjamin M."},{"family":"Allison","given":"Amanda L."}],"issued":{"date-parts":[["2014",6,1]]}}}],"schema":"https://github.com/citation-style-language/schema/raw/master/csl-citation.json"}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(Fitzpatrick &amp; Allison, 2014)</w:t>
      </w:r>
      <w:r w:rsidRPr="00D75A98">
        <w:rPr>
          <w:rFonts w:ascii="Times New Roman" w:hAnsi="Times New Roman" w:cs="Times New Roman"/>
        </w:rPr>
        <w:fldChar w:fldCharType="end"/>
      </w:r>
      <w:r w:rsidRPr="00D75A98">
        <w:rPr>
          <w:rFonts w:ascii="Times New Roman" w:hAnsi="Times New Roman" w:cs="Times New Roman"/>
        </w:rPr>
        <w:t xml:space="preserve">. However, if many differences exist, a weak correlation coefficient would be indicative of alternative symbiont acquisition and maintenance on hosts. We assessed the strength of the relationship between relative abundance on salamanders and on cover objects using Kendall’s tau correlation coefficient at four hierarchical levels: ASVs, 97% clustering, genus, and family level ‘glomming’. We divided our dataset to assess trends between aquatic and terrestrial samples. Sequences not assigned at the respective taxonomic level were assigned the taxonomy one level above to prevent spurious glomming resulting from classification failure. </w:t>
      </w:r>
    </w:p>
    <w:p w14:paraId="0A57E8AB" w14:textId="1297F6FC" w:rsidR="009E616B" w:rsidRPr="00D75A98" w:rsidRDefault="009E616B" w:rsidP="00AC575A">
      <w:pPr>
        <w:spacing w:line="360" w:lineRule="auto"/>
        <w:ind w:firstLine="720"/>
        <w:rPr>
          <w:rFonts w:ascii="Times New Roman" w:hAnsi="Times New Roman" w:cs="Times New Roman"/>
        </w:rPr>
      </w:pPr>
      <w:r w:rsidRPr="00D75A98">
        <w:rPr>
          <w:rFonts w:ascii="Times New Roman" w:hAnsi="Times New Roman" w:cs="Times New Roman"/>
        </w:rPr>
        <w:t xml:space="preserve">Even if the dominant pattern is one of high correlation and no significant community dissimilarity between salamander skin and environmental samples, there might be a small number of salamander specialists (or microbes systematically excluded from salamander skin). Indicator species analysis is designed to identify such taxa </w:t>
      </w:r>
      <w:r w:rsidR="009C2DCD"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{"citationID":"a2ac66emla7","properties":{"formattedCitation":"(De C\\uc0\\u225{}ceres et al., 2010)","plainCitation":"(De Cáceres et al., 2010)","noteIndex":0},"citationItems":[{"id":482,"uris":["http://zotero.org/users/6401767/items/5TZG2BF8"],"itemData":{"id":482,"type":"article-journal","abstract":"Indicator species are species that are used as ecological indicators of community or habitat types, environmental conditions, or environmental changes. In order to determine indicator species, the characteristic to be predicted is represented in the form of a classification of the sites, which is compared to the patterns of distribution of the species found at the sites. Indicator species analysis should take into account the fact that species have different niche breadths: if a species is related to the conditions prevailing in two or more groups of sites, an indicator species analysis undertaken on individual groups of sites may fail to reveal this association. In this paper, we suggest improving indicator species analysis by considering all possible combinations of groups of sites and selecting the combination for which the species can be best used as indicator. When using a correlation index, such as the point-biserial correlation, the method yields the combination where the difference between the observed and expected abundance/frequency of the species is the largest. When an indicator value index (IndVal) is used, the method provides the set of site-groups that best matches the observed distribution pattern of the species. We illustrate the advantages of the method in three different examples. Consideration of combinations of groups of sites provides an extra flexibility to qualitatively model the habitat preferences of the species of interest. The method also allows users to cross multiple classifications of the same sites, increasing the amount of information resulting from the analysis. When applied to community types, it allows one to distinguish those species that characterize individual types from those that characterize the relationships between them. This distinction is useful to determine the number of types that maximizes the number of indicator species.","container-title":"Oikos","ISSN":"0030-1299","issue":"10","note":"publisher: Wiley","page":"1674-1684","source":"JSTOR","title":"Improving indicator species analysis by combining groups of sites","volume":"119","author":[{"family":"De Cáceres","given":"Miquel"},{"family":"Legendre","given":"Pierre"},{"family":"Moretti","given":"Marco"}],"issued":{"date-parts":[["2010"]]}}}],"schema":"https://github.com/citation-style-language/schema/raw/master/csl-citation.json"} </w:instrText>
      </w:r>
      <w:r w:rsidR="009C2DCD" w:rsidRPr="00D75A98">
        <w:rPr>
          <w:rFonts w:ascii="Times New Roman" w:hAnsi="Times New Roman" w:cs="Times New Roman"/>
        </w:rPr>
        <w:fldChar w:fldCharType="separate"/>
      </w:r>
      <w:r w:rsidR="004D2321" w:rsidRPr="004D2321">
        <w:rPr>
          <w:rFonts w:ascii="Times New Roman" w:hAnsi="Times New Roman" w:cs="Times New Roman"/>
        </w:rPr>
        <w:t>(De Cáceres et al., 2010)</w:t>
      </w:r>
      <w:r w:rsidR="009C2DCD" w:rsidRPr="00D75A98">
        <w:rPr>
          <w:rFonts w:ascii="Times New Roman" w:hAnsi="Times New Roman" w:cs="Times New Roman"/>
        </w:rPr>
        <w:fldChar w:fldCharType="end"/>
      </w:r>
      <w:r w:rsidR="009C2DCD" w:rsidRPr="00D75A98">
        <w:rPr>
          <w:rFonts w:ascii="Times New Roman" w:hAnsi="Times New Roman" w:cs="Times New Roman"/>
        </w:rPr>
        <w:t xml:space="preserve">. </w:t>
      </w:r>
      <w:r w:rsidRPr="00D75A98">
        <w:rPr>
          <w:rFonts w:ascii="Times New Roman" w:hAnsi="Times New Roman" w:cs="Times New Roman"/>
        </w:rPr>
        <w:t>We used the point biserial correlation coefficient in the R package ‘</w:t>
      </w:r>
      <w:proofErr w:type="spellStart"/>
      <w:r w:rsidRPr="00D75A98">
        <w:rPr>
          <w:rFonts w:ascii="Times New Roman" w:hAnsi="Times New Roman" w:cs="Times New Roman"/>
        </w:rPr>
        <w:t>indicspecies</w:t>
      </w:r>
      <w:proofErr w:type="spellEnd"/>
      <w:r w:rsidRPr="00D75A98">
        <w:rPr>
          <w:rFonts w:ascii="Times New Roman" w:hAnsi="Times New Roman" w:cs="Times New Roman"/>
        </w:rPr>
        <w:t xml:space="preserve">’ following the methods described previously to screen for ASVs statistically associated with salamanders or cover objects. To ensure point biserial estimates were not a result of subsampling (rarefaction), we rarefied our dataset 1000 times and computed the point biserial correlation coefficient for each rarefaction. We then extracted the taxa with an average correlation coefficient greater than 0.25  for comparisons within a habitat and 0.20 for indicators of all salamanders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{"citationID":"mYFFRAOn","properties":{"formattedCitation":"(Varma, 2006)","plainCitation":"(Varma, 2006)","noteIndex":0},"citationItems":[{"id":402,"uris":["http://zotero.org/users/6401767/items/W93Q2EXL"],"itemData":{"id":402,"type":"article-journal","language":"en","source":"Zotero","title":"Preliminary Item Statistics Using Point-Biserial Correlation and P-Values","author":[{"family":"Varma","given":"Seema"}],"issued":{"date-parts":[["2006"]]}}}],"schema":"https://github.com/citation-style-language/schema/raw/master/csl-citation.json"}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(Varma, 2006)</w:t>
      </w:r>
      <w:r w:rsidRPr="00D75A98">
        <w:rPr>
          <w:rFonts w:ascii="Times New Roman" w:hAnsi="Times New Roman" w:cs="Times New Roman"/>
        </w:rPr>
        <w:fldChar w:fldCharType="end"/>
      </w:r>
      <w:r w:rsidRPr="00D75A98">
        <w:rPr>
          <w:rFonts w:ascii="Times New Roman" w:hAnsi="Times New Roman" w:cs="Times New Roman"/>
        </w:rPr>
        <w:t>.</w:t>
      </w:r>
    </w:p>
    <w:p w14:paraId="6F188972" w14:textId="77777777" w:rsidR="009E616B" w:rsidRPr="00D75A98" w:rsidRDefault="009E616B" w:rsidP="009E616B">
      <w:pPr>
        <w:pStyle w:val="Heading2"/>
        <w:rPr>
          <w:rFonts w:ascii="Times New Roman" w:hAnsi="Times New Roman" w:cs="Times New Roman"/>
          <w:b w:val="0"/>
          <w:bCs w:val="0"/>
          <w:iCs w:val="0"/>
        </w:rPr>
      </w:pPr>
      <w:bookmarkStart w:id="65" w:name="_Toc165028070"/>
      <w:r w:rsidRPr="00D75A98">
        <w:rPr>
          <w:rFonts w:ascii="Times New Roman" w:hAnsi="Times New Roman" w:cs="Times New Roman"/>
          <w:iCs w:val="0"/>
        </w:rPr>
        <w:t>Results</w:t>
      </w:r>
      <w:bookmarkEnd w:id="65"/>
    </w:p>
    <w:p w14:paraId="1B5DDEE4" w14:textId="2C306385" w:rsidR="009E616B" w:rsidRPr="00491D83" w:rsidRDefault="004D0F76" w:rsidP="0030715E">
      <w:pPr>
        <w:pStyle w:val="Heading3"/>
        <w:spacing w:line="360" w:lineRule="auto"/>
        <w:rPr>
          <w:rFonts w:ascii="Times New Roman" w:hAnsi="Times New Roman" w:cs="Times New Roman"/>
          <w:b w:val="0"/>
          <w:bCs w:val="0"/>
          <w:i w:val="0"/>
          <w:iCs/>
        </w:rPr>
      </w:pPr>
      <w:bookmarkStart w:id="66" w:name="_Toc165028071"/>
      <w:r w:rsidRPr="00491D83">
        <w:rPr>
          <w:rFonts w:ascii="Times New Roman" w:hAnsi="Times New Roman" w:cs="Times New Roman"/>
          <w:b w:val="0"/>
          <w:bCs w:val="0"/>
          <w:iCs/>
        </w:rPr>
        <w:t xml:space="preserve">Hosts harbor less species than cover </w:t>
      </w:r>
      <w:proofErr w:type="gramStart"/>
      <w:r w:rsidRPr="00491D83">
        <w:rPr>
          <w:rFonts w:ascii="Times New Roman" w:hAnsi="Times New Roman" w:cs="Times New Roman"/>
          <w:b w:val="0"/>
          <w:bCs w:val="0"/>
          <w:iCs/>
        </w:rPr>
        <w:t>objects</w:t>
      </w:r>
      <w:bookmarkEnd w:id="66"/>
      <w:proofErr w:type="gramEnd"/>
    </w:p>
    <w:p w14:paraId="71E0C754" w14:textId="77777777" w:rsidR="000B341F" w:rsidRDefault="009E616B" w:rsidP="00D24CDA">
      <w:pPr>
        <w:spacing w:line="360" w:lineRule="auto"/>
        <w:ind w:firstLine="720"/>
        <w:rPr>
          <w:rFonts w:ascii="Times New Roman" w:hAnsi="Times New Roman" w:cs="Times New Roman"/>
          <w:i/>
          <w:iCs/>
        </w:rPr>
      </w:pPr>
      <w:r w:rsidRPr="00D75A98">
        <w:rPr>
          <w:rFonts w:ascii="Times New Roman" w:hAnsi="Times New Roman" w:cs="Times New Roman"/>
        </w:rPr>
        <w:t>Skin swabs from both terrestrial and aquatically captured salamanders had lower bacterial richness than their corresponding cover objects (</w:t>
      </w:r>
      <w:r w:rsidRPr="005B5617">
        <w:rPr>
          <w:rFonts w:ascii="Times New Roman" w:hAnsi="Times New Roman" w:cs="Times New Roman"/>
          <w:b/>
          <w:bCs/>
        </w:rPr>
        <w:t xml:space="preserve">Table </w:t>
      </w:r>
      <w:r w:rsidR="005B5617" w:rsidRPr="005B5617">
        <w:rPr>
          <w:rFonts w:ascii="Times New Roman" w:hAnsi="Times New Roman" w:cs="Times New Roman"/>
          <w:b/>
          <w:bCs/>
        </w:rPr>
        <w:t>4</w:t>
      </w:r>
      <w:r w:rsidRPr="00D75A98">
        <w:rPr>
          <w:rFonts w:ascii="Times New Roman" w:hAnsi="Times New Roman" w:cs="Times New Roman"/>
        </w:rPr>
        <w:t xml:space="preserve">, </w:t>
      </w:r>
      <w:r w:rsidRPr="00D75A98">
        <w:rPr>
          <w:rFonts w:ascii="Times New Roman" w:hAnsi="Times New Roman" w:cs="Times New Roman"/>
          <w:i/>
          <w:iCs/>
        </w:rPr>
        <w:t>p</w:t>
      </w:r>
      <w:r w:rsidRPr="00D75A98">
        <w:rPr>
          <w:rFonts w:ascii="Times New Roman" w:hAnsi="Times New Roman" w:cs="Times New Roman"/>
        </w:rPr>
        <w:t xml:space="preserve">&lt;0.05, </w:t>
      </w:r>
      <w:r w:rsidRPr="00D75A98">
        <w:rPr>
          <w:rFonts w:ascii="Times New Roman" w:hAnsi="Times New Roman" w:cs="Times New Roman"/>
          <w:i/>
          <w:iCs/>
        </w:rPr>
        <w:t>p</w:t>
      </w:r>
      <w:r w:rsidRPr="00D75A98">
        <w:rPr>
          <w:rFonts w:ascii="Times New Roman" w:hAnsi="Times New Roman" w:cs="Times New Roman"/>
        </w:rPr>
        <w:t xml:space="preserve">&lt;0.05). However, only aquatically captured salamanders had lower diversity than aquatic cover objects at </w:t>
      </w:r>
      <w:r w:rsidRPr="00D75A98">
        <w:rPr>
          <w:rFonts w:ascii="Times New Roman" w:hAnsi="Times New Roman" w:cs="Times New Roman"/>
          <w:i/>
          <w:iCs/>
        </w:rPr>
        <w:t xml:space="preserve">q=1 </w:t>
      </w:r>
      <w:r w:rsidRPr="00D75A98">
        <w:rPr>
          <w:rFonts w:ascii="Times New Roman" w:hAnsi="Times New Roman" w:cs="Times New Roman"/>
        </w:rPr>
        <w:t xml:space="preserve">and </w:t>
      </w:r>
      <w:r w:rsidRPr="00D75A98">
        <w:rPr>
          <w:rFonts w:ascii="Times New Roman" w:hAnsi="Times New Roman" w:cs="Times New Roman"/>
          <w:i/>
          <w:iCs/>
        </w:rPr>
        <w:t xml:space="preserve">q=2 </w:t>
      </w:r>
    </w:p>
    <w:p w14:paraId="43AE1473" w14:textId="293B4386" w:rsidR="000B341F" w:rsidRPr="00491D83" w:rsidRDefault="000B341F" w:rsidP="00491D83">
      <w:pPr>
        <w:pStyle w:val="Caption"/>
        <w:rPr>
          <w:rFonts w:ascii="Times New Roman" w:hAnsi="Times New Roman" w:cs="Times New Roman"/>
          <w:b w:val="0"/>
          <w:bCs w:val="0"/>
        </w:rPr>
      </w:pPr>
      <w:bookmarkStart w:id="67" w:name="_Toc165028994"/>
      <w:r w:rsidRPr="00491D83">
        <w:rPr>
          <w:rFonts w:ascii="Times New Roman" w:hAnsi="Times New Roman" w:cs="Times New Roman"/>
          <w:b w:val="0"/>
          <w:bCs w:val="0"/>
        </w:rPr>
        <w:lastRenderedPageBreak/>
        <w:t xml:space="preserve">Table </w:t>
      </w:r>
      <w:r w:rsidR="00122B3E">
        <w:rPr>
          <w:rFonts w:ascii="Times New Roman" w:hAnsi="Times New Roman" w:cs="Times New Roman"/>
          <w:b w:val="0"/>
          <w:bCs w:val="0"/>
        </w:rPr>
        <w:fldChar w:fldCharType="begin"/>
      </w:r>
      <w:r w:rsidR="00122B3E">
        <w:rPr>
          <w:rFonts w:ascii="Times New Roman" w:hAnsi="Times New Roman" w:cs="Times New Roman"/>
          <w:b w:val="0"/>
          <w:bCs w:val="0"/>
        </w:rPr>
        <w:instrText xml:space="preserve"> SEQ Table \* ARABIC </w:instrText>
      </w:r>
      <w:r w:rsidR="00122B3E">
        <w:rPr>
          <w:rFonts w:ascii="Times New Roman" w:hAnsi="Times New Roman" w:cs="Times New Roman"/>
          <w:b w:val="0"/>
          <w:bCs w:val="0"/>
        </w:rPr>
        <w:fldChar w:fldCharType="separate"/>
      </w:r>
      <w:r w:rsidR="001648DD">
        <w:rPr>
          <w:rFonts w:ascii="Times New Roman" w:hAnsi="Times New Roman" w:cs="Times New Roman"/>
          <w:b w:val="0"/>
          <w:bCs w:val="0"/>
          <w:noProof/>
        </w:rPr>
        <w:t>4</w:t>
      </w:r>
      <w:r w:rsidR="00122B3E">
        <w:rPr>
          <w:rFonts w:ascii="Times New Roman" w:hAnsi="Times New Roman" w:cs="Times New Roman"/>
          <w:b w:val="0"/>
          <w:bCs w:val="0"/>
        </w:rPr>
        <w:fldChar w:fldCharType="end"/>
      </w:r>
      <w:r w:rsidRPr="00491D83">
        <w:rPr>
          <w:rFonts w:ascii="Times New Roman" w:hAnsi="Times New Roman" w:cs="Times New Roman"/>
          <w:b w:val="0"/>
          <w:bCs w:val="0"/>
        </w:rPr>
        <w:t>: Hill Number taxonomic and phylogenetic alpha diversity estimates for aquatic/terrestrial salamanders and cover objects. Superscripts denote statistical significance (</w:t>
      </w:r>
      <w:r w:rsidRPr="00491D83">
        <w:rPr>
          <w:rFonts w:ascii="Times New Roman" w:hAnsi="Times New Roman" w:cs="Times New Roman"/>
          <w:b w:val="0"/>
          <w:bCs w:val="0"/>
          <w:i/>
          <w:iCs/>
        </w:rPr>
        <w:t>p</w:t>
      </w:r>
      <w:r w:rsidRPr="00491D83">
        <w:rPr>
          <w:rFonts w:ascii="Times New Roman" w:hAnsi="Times New Roman" w:cs="Times New Roman"/>
          <w:b w:val="0"/>
          <w:bCs w:val="0"/>
        </w:rPr>
        <w:t>&lt;0.05).</w:t>
      </w:r>
      <w:bookmarkEnd w:id="67"/>
    </w:p>
    <w:tbl>
      <w:tblPr>
        <w:tblStyle w:val="PlainTable1"/>
        <w:tblW w:w="7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990"/>
        <w:gridCol w:w="1890"/>
        <w:gridCol w:w="1980"/>
        <w:gridCol w:w="1350"/>
      </w:tblGrid>
      <w:tr w:rsidR="005B5C96" w:rsidRPr="00491D83" w14:paraId="46F9FD85" w14:textId="77777777" w:rsidTr="00491D83">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D9D9D9" w:themeFill="background1" w:themeFillShade="D9"/>
            <w:noWrap/>
            <w:vAlign w:val="center"/>
            <w:hideMark/>
          </w:tcPr>
          <w:p w14:paraId="6454C0BF" w14:textId="77777777" w:rsidR="005B5C96" w:rsidRPr="00491D83" w:rsidRDefault="005B5C96" w:rsidP="00491D83">
            <w:pPr>
              <w:jc w:val="center"/>
              <w:rPr>
                <w:rFonts w:ascii="Times New Roman" w:eastAsia="Times New Roman" w:hAnsi="Times New Roman" w:cs="Times New Roman"/>
                <w:b w:val="0"/>
                <w:bCs w:val="0"/>
                <w:color w:val="000000"/>
              </w:rPr>
            </w:pPr>
            <w:r w:rsidRPr="00491D83">
              <w:rPr>
                <w:rFonts w:ascii="Times New Roman" w:eastAsia="Times New Roman" w:hAnsi="Times New Roman" w:cs="Times New Roman"/>
                <w:color w:val="000000"/>
              </w:rPr>
              <w:t>Order of Diversity</w:t>
            </w:r>
          </w:p>
        </w:tc>
        <w:tc>
          <w:tcPr>
            <w:tcW w:w="990" w:type="dxa"/>
            <w:shd w:val="clear" w:color="auto" w:fill="D9D9D9" w:themeFill="background1" w:themeFillShade="D9"/>
            <w:noWrap/>
            <w:vAlign w:val="center"/>
            <w:hideMark/>
          </w:tcPr>
          <w:p w14:paraId="2273388E" w14:textId="77777777" w:rsidR="005B5C96" w:rsidRPr="00491D83" w:rsidRDefault="005B5C96" w:rsidP="00491D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p w14:paraId="394D58E8" w14:textId="77777777" w:rsidR="005B5C96" w:rsidRPr="00491D83" w:rsidRDefault="005B5C96" w:rsidP="00491D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491D83">
              <w:rPr>
                <w:rFonts w:ascii="Times New Roman" w:eastAsia="Times New Roman" w:hAnsi="Times New Roman" w:cs="Times New Roman"/>
                <w:color w:val="000000"/>
              </w:rPr>
              <w:t>Group</w:t>
            </w:r>
          </w:p>
        </w:tc>
        <w:tc>
          <w:tcPr>
            <w:tcW w:w="1890" w:type="dxa"/>
            <w:shd w:val="clear" w:color="auto" w:fill="D9D9D9" w:themeFill="background1" w:themeFillShade="D9"/>
            <w:noWrap/>
            <w:vAlign w:val="center"/>
            <w:hideMark/>
          </w:tcPr>
          <w:p w14:paraId="67589465" w14:textId="77777777" w:rsidR="005B5C96" w:rsidRPr="00491D83" w:rsidRDefault="005B5C96" w:rsidP="00491D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491D83">
              <w:rPr>
                <w:rFonts w:ascii="Times New Roman" w:eastAsia="Times New Roman" w:hAnsi="Times New Roman" w:cs="Times New Roman"/>
                <w:color w:val="000000"/>
              </w:rPr>
              <w:t>Effective Species (Taxonomic)</w:t>
            </w:r>
          </w:p>
        </w:tc>
        <w:tc>
          <w:tcPr>
            <w:tcW w:w="1980" w:type="dxa"/>
            <w:shd w:val="clear" w:color="auto" w:fill="D9D9D9" w:themeFill="background1" w:themeFillShade="D9"/>
            <w:vAlign w:val="center"/>
          </w:tcPr>
          <w:p w14:paraId="4C41D7E8" w14:textId="77777777" w:rsidR="005B5C96" w:rsidRPr="00491D83" w:rsidRDefault="005B5C96" w:rsidP="00491D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491D83">
              <w:rPr>
                <w:rFonts w:ascii="Times New Roman" w:eastAsia="Times New Roman" w:hAnsi="Times New Roman" w:cs="Times New Roman"/>
                <w:color w:val="000000"/>
              </w:rPr>
              <w:t>Effective Species (Phylogenetic)</w:t>
            </w:r>
          </w:p>
        </w:tc>
        <w:tc>
          <w:tcPr>
            <w:tcW w:w="1350" w:type="dxa"/>
            <w:shd w:val="clear" w:color="auto" w:fill="D9D9D9" w:themeFill="background1" w:themeFillShade="D9"/>
            <w:vAlign w:val="center"/>
          </w:tcPr>
          <w:p w14:paraId="1504CABB" w14:textId="77777777" w:rsidR="005B5C96" w:rsidRPr="00491D83" w:rsidRDefault="005B5C96" w:rsidP="00491D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p>
          <w:p w14:paraId="73E22D8A" w14:textId="77777777" w:rsidR="005B5C96" w:rsidRPr="00491D83" w:rsidRDefault="005B5C96" w:rsidP="00491D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491D83">
              <w:rPr>
                <w:rFonts w:ascii="Times New Roman" w:eastAsia="Times New Roman" w:hAnsi="Times New Roman" w:cs="Times New Roman"/>
                <w:color w:val="000000"/>
              </w:rPr>
              <w:t>Samples</w:t>
            </w:r>
          </w:p>
        </w:tc>
      </w:tr>
      <w:tr w:rsidR="005B5C96" w:rsidRPr="00491D83" w14:paraId="1C434B7D" w14:textId="77777777" w:rsidTr="00491D8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FFFFF" w:themeFill="background1"/>
            <w:noWrap/>
            <w:vAlign w:val="center"/>
            <w:hideMark/>
          </w:tcPr>
          <w:p w14:paraId="7F7FB0DA"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q=0</w:t>
            </w:r>
          </w:p>
        </w:tc>
        <w:tc>
          <w:tcPr>
            <w:tcW w:w="990" w:type="dxa"/>
            <w:shd w:val="clear" w:color="auto" w:fill="FFFFFF" w:themeFill="background1"/>
            <w:noWrap/>
            <w:vAlign w:val="center"/>
            <w:hideMark/>
          </w:tcPr>
          <w:p w14:paraId="60B09DB8"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Env T</w:t>
            </w:r>
          </w:p>
        </w:tc>
        <w:tc>
          <w:tcPr>
            <w:tcW w:w="1890" w:type="dxa"/>
            <w:shd w:val="clear" w:color="auto" w:fill="FFFFFF" w:themeFill="background1"/>
            <w:noWrap/>
            <w:vAlign w:val="center"/>
            <w:hideMark/>
          </w:tcPr>
          <w:p w14:paraId="729F85B7"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559.79 </w:t>
            </w:r>
            <w:r w:rsidRPr="00491D83">
              <w:rPr>
                <w:rFonts w:ascii="Times New Roman" w:eastAsia="Times New Roman" w:hAnsi="Times New Roman" w:cs="Times New Roman"/>
                <w:color w:val="000000"/>
                <w:vertAlign w:val="superscript"/>
              </w:rPr>
              <w:t>A</w:t>
            </w:r>
          </w:p>
        </w:tc>
        <w:tc>
          <w:tcPr>
            <w:tcW w:w="1980" w:type="dxa"/>
            <w:shd w:val="clear" w:color="auto" w:fill="FFFFFF" w:themeFill="background1"/>
            <w:vAlign w:val="center"/>
          </w:tcPr>
          <w:p w14:paraId="6CD9B091"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361.39 </w:t>
            </w:r>
            <w:r w:rsidRPr="00491D83">
              <w:rPr>
                <w:rFonts w:ascii="Times New Roman" w:eastAsia="Times New Roman" w:hAnsi="Times New Roman" w:cs="Times New Roman"/>
                <w:color w:val="000000"/>
                <w:vertAlign w:val="superscript"/>
              </w:rPr>
              <w:t>A</w:t>
            </w:r>
          </w:p>
        </w:tc>
        <w:tc>
          <w:tcPr>
            <w:tcW w:w="1350" w:type="dxa"/>
            <w:shd w:val="clear" w:color="auto" w:fill="FFFFFF" w:themeFill="background1"/>
            <w:vAlign w:val="center"/>
          </w:tcPr>
          <w:p w14:paraId="7657AAE0"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24</w:t>
            </w:r>
          </w:p>
        </w:tc>
      </w:tr>
      <w:tr w:rsidR="005B5C96" w:rsidRPr="00491D83" w14:paraId="481E0DD0" w14:textId="77777777" w:rsidTr="00491D83">
        <w:trPr>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2F2F2" w:themeFill="background1" w:themeFillShade="F2"/>
            <w:noWrap/>
            <w:vAlign w:val="center"/>
            <w:hideMark/>
          </w:tcPr>
          <w:p w14:paraId="5CB3B47A"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q=0</w:t>
            </w:r>
          </w:p>
        </w:tc>
        <w:tc>
          <w:tcPr>
            <w:tcW w:w="990" w:type="dxa"/>
            <w:shd w:val="clear" w:color="auto" w:fill="F2F2F2" w:themeFill="background1" w:themeFillShade="F2"/>
            <w:noWrap/>
            <w:vAlign w:val="center"/>
            <w:hideMark/>
          </w:tcPr>
          <w:p w14:paraId="751FA3C1"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Env W</w:t>
            </w:r>
          </w:p>
        </w:tc>
        <w:tc>
          <w:tcPr>
            <w:tcW w:w="1890" w:type="dxa"/>
            <w:shd w:val="clear" w:color="auto" w:fill="F2F2F2" w:themeFill="background1" w:themeFillShade="F2"/>
            <w:noWrap/>
            <w:vAlign w:val="center"/>
            <w:hideMark/>
          </w:tcPr>
          <w:p w14:paraId="59DA117B"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623.24 </w:t>
            </w:r>
            <w:r w:rsidRPr="00491D83">
              <w:rPr>
                <w:rFonts w:ascii="Times New Roman" w:eastAsia="Times New Roman" w:hAnsi="Times New Roman" w:cs="Times New Roman"/>
                <w:color w:val="000000"/>
                <w:vertAlign w:val="superscript"/>
              </w:rPr>
              <w:t>B</w:t>
            </w:r>
          </w:p>
        </w:tc>
        <w:tc>
          <w:tcPr>
            <w:tcW w:w="1980" w:type="dxa"/>
            <w:shd w:val="clear" w:color="auto" w:fill="F2F2F2" w:themeFill="background1" w:themeFillShade="F2"/>
            <w:vAlign w:val="center"/>
          </w:tcPr>
          <w:p w14:paraId="1DDD8AF4"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445.59 </w:t>
            </w:r>
            <w:r w:rsidRPr="00491D83">
              <w:rPr>
                <w:rFonts w:ascii="Times New Roman" w:eastAsia="Times New Roman" w:hAnsi="Times New Roman" w:cs="Times New Roman"/>
                <w:color w:val="000000"/>
                <w:vertAlign w:val="superscript"/>
              </w:rPr>
              <w:t>B</w:t>
            </w:r>
          </w:p>
        </w:tc>
        <w:tc>
          <w:tcPr>
            <w:tcW w:w="1350" w:type="dxa"/>
            <w:shd w:val="clear" w:color="auto" w:fill="F2F2F2" w:themeFill="background1" w:themeFillShade="F2"/>
            <w:vAlign w:val="center"/>
          </w:tcPr>
          <w:p w14:paraId="5728825D"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22</w:t>
            </w:r>
          </w:p>
        </w:tc>
      </w:tr>
      <w:tr w:rsidR="005B5C96" w:rsidRPr="00491D83" w14:paraId="5EDC57BF" w14:textId="77777777" w:rsidTr="00491D8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FFFFF" w:themeFill="background1"/>
            <w:noWrap/>
            <w:vAlign w:val="center"/>
            <w:hideMark/>
          </w:tcPr>
          <w:p w14:paraId="4404D135"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q=0</w:t>
            </w:r>
          </w:p>
        </w:tc>
        <w:tc>
          <w:tcPr>
            <w:tcW w:w="990" w:type="dxa"/>
            <w:shd w:val="clear" w:color="auto" w:fill="FFFFFF" w:themeFill="background1"/>
            <w:noWrap/>
            <w:vAlign w:val="center"/>
            <w:hideMark/>
          </w:tcPr>
          <w:p w14:paraId="07DAC6A2"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Sal T</w:t>
            </w:r>
          </w:p>
        </w:tc>
        <w:tc>
          <w:tcPr>
            <w:tcW w:w="1890" w:type="dxa"/>
            <w:shd w:val="clear" w:color="auto" w:fill="FFFFFF" w:themeFill="background1"/>
            <w:noWrap/>
            <w:vAlign w:val="center"/>
            <w:hideMark/>
          </w:tcPr>
          <w:p w14:paraId="6F02E94C"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390.30 </w:t>
            </w:r>
            <w:r w:rsidRPr="00491D83">
              <w:rPr>
                <w:rFonts w:ascii="Times New Roman" w:eastAsia="Times New Roman" w:hAnsi="Times New Roman" w:cs="Times New Roman"/>
                <w:color w:val="000000"/>
                <w:vertAlign w:val="superscript"/>
              </w:rPr>
              <w:t>A</w:t>
            </w:r>
          </w:p>
        </w:tc>
        <w:tc>
          <w:tcPr>
            <w:tcW w:w="1980" w:type="dxa"/>
            <w:shd w:val="clear" w:color="auto" w:fill="FFFFFF" w:themeFill="background1"/>
            <w:vAlign w:val="center"/>
          </w:tcPr>
          <w:p w14:paraId="5DBD0E81"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301.77 </w:t>
            </w:r>
            <w:r w:rsidRPr="00491D83">
              <w:rPr>
                <w:rFonts w:ascii="Times New Roman" w:eastAsia="Times New Roman" w:hAnsi="Times New Roman" w:cs="Times New Roman"/>
                <w:color w:val="000000"/>
                <w:vertAlign w:val="superscript"/>
              </w:rPr>
              <w:t>A</w:t>
            </w:r>
          </w:p>
        </w:tc>
        <w:tc>
          <w:tcPr>
            <w:tcW w:w="1350" w:type="dxa"/>
            <w:shd w:val="clear" w:color="auto" w:fill="FFFFFF" w:themeFill="background1"/>
            <w:vAlign w:val="center"/>
          </w:tcPr>
          <w:p w14:paraId="38E25B7B"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24</w:t>
            </w:r>
          </w:p>
        </w:tc>
      </w:tr>
      <w:tr w:rsidR="005B5C96" w:rsidRPr="00491D83" w14:paraId="2850B4CC" w14:textId="77777777" w:rsidTr="00491D83">
        <w:trPr>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2F2F2" w:themeFill="background1" w:themeFillShade="F2"/>
            <w:noWrap/>
            <w:vAlign w:val="center"/>
            <w:hideMark/>
          </w:tcPr>
          <w:p w14:paraId="461F20F7"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q=0</w:t>
            </w:r>
          </w:p>
        </w:tc>
        <w:tc>
          <w:tcPr>
            <w:tcW w:w="990" w:type="dxa"/>
            <w:shd w:val="clear" w:color="auto" w:fill="F2F2F2" w:themeFill="background1" w:themeFillShade="F2"/>
            <w:noWrap/>
            <w:vAlign w:val="center"/>
            <w:hideMark/>
          </w:tcPr>
          <w:p w14:paraId="334070C2"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Sal W</w:t>
            </w:r>
          </w:p>
        </w:tc>
        <w:tc>
          <w:tcPr>
            <w:tcW w:w="1890" w:type="dxa"/>
            <w:shd w:val="clear" w:color="auto" w:fill="F2F2F2" w:themeFill="background1" w:themeFillShade="F2"/>
            <w:noWrap/>
            <w:vAlign w:val="center"/>
            <w:hideMark/>
          </w:tcPr>
          <w:p w14:paraId="4A3291D3"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260.19 </w:t>
            </w:r>
            <w:r w:rsidRPr="00491D83">
              <w:rPr>
                <w:rFonts w:ascii="Times New Roman" w:eastAsia="Times New Roman" w:hAnsi="Times New Roman" w:cs="Times New Roman"/>
                <w:color w:val="000000"/>
                <w:vertAlign w:val="superscript"/>
              </w:rPr>
              <w:t>B</w:t>
            </w:r>
          </w:p>
        </w:tc>
        <w:tc>
          <w:tcPr>
            <w:tcW w:w="1980" w:type="dxa"/>
            <w:shd w:val="clear" w:color="auto" w:fill="F2F2F2" w:themeFill="background1" w:themeFillShade="F2"/>
            <w:vAlign w:val="center"/>
          </w:tcPr>
          <w:p w14:paraId="11113335"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247.31 </w:t>
            </w:r>
            <w:r w:rsidRPr="00491D83">
              <w:rPr>
                <w:rFonts w:ascii="Times New Roman" w:eastAsia="Times New Roman" w:hAnsi="Times New Roman" w:cs="Times New Roman"/>
                <w:color w:val="000000"/>
                <w:vertAlign w:val="superscript"/>
              </w:rPr>
              <w:t>B</w:t>
            </w:r>
          </w:p>
        </w:tc>
        <w:tc>
          <w:tcPr>
            <w:tcW w:w="1350" w:type="dxa"/>
            <w:shd w:val="clear" w:color="auto" w:fill="F2F2F2" w:themeFill="background1" w:themeFillShade="F2"/>
            <w:vAlign w:val="center"/>
          </w:tcPr>
          <w:p w14:paraId="5BE62CC7"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22</w:t>
            </w:r>
          </w:p>
        </w:tc>
      </w:tr>
      <w:tr w:rsidR="005B5C96" w:rsidRPr="00491D83" w14:paraId="44F5376E" w14:textId="77777777" w:rsidTr="00491D8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FFFFF" w:themeFill="background1"/>
            <w:noWrap/>
            <w:vAlign w:val="center"/>
            <w:hideMark/>
          </w:tcPr>
          <w:p w14:paraId="3B34BC2B"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q=1</w:t>
            </w:r>
          </w:p>
        </w:tc>
        <w:tc>
          <w:tcPr>
            <w:tcW w:w="990" w:type="dxa"/>
            <w:shd w:val="clear" w:color="auto" w:fill="FFFFFF" w:themeFill="background1"/>
            <w:noWrap/>
            <w:vAlign w:val="center"/>
            <w:hideMark/>
          </w:tcPr>
          <w:p w14:paraId="71239117"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Env T</w:t>
            </w:r>
          </w:p>
        </w:tc>
        <w:tc>
          <w:tcPr>
            <w:tcW w:w="1890" w:type="dxa"/>
            <w:shd w:val="clear" w:color="auto" w:fill="FFFFFF" w:themeFill="background1"/>
            <w:noWrap/>
            <w:vAlign w:val="center"/>
            <w:hideMark/>
          </w:tcPr>
          <w:p w14:paraId="7C820687"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304.49</w:t>
            </w:r>
          </w:p>
        </w:tc>
        <w:tc>
          <w:tcPr>
            <w:tcW w:w="1980" w:type="dxa"/>
            <w:shd w:val="clear" w:color="auto" w:fill="FFFFFF" w:themeFill="background1"/>
            <w:vAlign w:val="center"/>
          </w:tcPr>
          <w:p w14:paraId="23416DE5"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40.43</w:t>
            </w:r>
          </w:p>
        </w:tc>
        <w:tc>
          <w:tcPr>
            <w:tcW w:w="1350" w:type="dxa"/>
            <w:shd w:val="clear" w:color="auto" w:fill="FFFFFF" w:themeFill="background1"/>
            <w:vAlign w:val="center"/>
          </w:tcPr>
          <w:p w14:paraId="20219F9E"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24</w:t>
            </w:r>
          </w:p>
        </w:tc>
      </w:tr>
      <w:tr w:rsidR="005B5C96" w:rsidRPr="00491D83" w14:paraId="3471716F" w14:textId="77777777" w:rsidTr="00491D83">
        <w:trPr>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2F2F2" w:themeFill="background1" w:themeFillShade="F2"/>
            <w:noWrap/>
            <w:vAlign w:val="center"/>
            <w:hideMark/>
          </w:tcPr>
          <w:p w14:paraId="0E5C584C"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q=1</w:t>
            </w:r>
          </w:p>
        </w:tc>
        <w:tc>
          <w:tcPr>
            <w:tcW w:w="990" w:type="dxa"/>
            <w:shd w:val="clear" w:color="auto" w:fill="F2F2F2" w:themeFill="background1" w:themeFillShade="F2"/>
            <w:noWrap/>
            <w:vAlign w:val="center"/>
            <w:hideMark/>
          </w:tcPr>
          <w:p w14:paraId="07B40D37"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Env W</w:t>
            </w:r>
          </w:p>
        </w:tc>
        <w:tc>
          <w:tcPr>
            <w:tcW w:w="1890" w:type="dxa"/>
            <w:shd w:val="clear" w:color="auto" w:fill="F2F2F2" w:themeFill="background1" w:themeFillShade="F2"/>
            <w:noWrap/>
            <w:vAlign w:val="center"/>
            <w:hideMark/>
          </w:tcPr>
          <w:p w14:paraId="216BB3E6"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344.34 </w:t>
            </w:r>
            <w:r w:rsidRPr="00491D83">
              <w:rPr>
                <w:rFonts w:ascii="Times New Roman" w:eastAsia="Times New Roman" w:hAnsi="Times New Roman" w:cs="Times New Roman"/>
                <w:color w:val="000000"/>
                <w:vertAlign w:val="superscript"/>
              </w:rPr>
              <w:t>C</w:t>
            </w:r>
          </w:p>
        </w:tc>
        <w:tc>
          <w:tcPr>
            <w:tcW w:w="1980" w:type="dxa"/>
            <w:shd w:val="clear" w:color="auto" w:fill="F2F2F2" w:themeFill="background1" w:themeFillShade="F2"/>
            <w:vAlign w:val="center"/>
          </w:tcPr>
          <w:p w14:paraId="3BE14BE2"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47.44 </w:t>
            </w:r>
            <w:r w:rsidRPr="00491D83">
              <w:rPr>
                <w:rFonts w:ascii="Times New Roman" w:eastAsia="Times New Roman" w:hAnsi="Times New Roman" w:cs="Times New Roman"/>
                <w:color w:val="000000"/>
                <w:vertAlign w:val="superscript"/>
              </w:rPr>
              <w:t>C</w:t>
            </w:r>
          </w:p>
        </w:tc>
        <w:tc>
          <w:tcPr>
            <w:tcW w:w="1350" w:type="dxa"/>
            <w:shd w:val="clear" w:color="auto" w:fill="F2F2F2" w:themeFill="background1" w:themeFillShade="F2"/>
            <w:vAlign w:val="center"/>
          </w:tcPr>
          <w:p w14:paraId="4D28E1F6"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22</w:t>
            </w:r>
          </w:p>
        </w:tc>
      </w:tr>
      <w:tr w:rsidR="005B5C96" w:rsidRPr="00491D83" w14:paraId="4ADBABB5" w14:textId="77777777" w:rsidTr="00491D8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FFFFF" w:themeFill="background1"/>
            <w:noWrap/>
            <w:vAlign w:val="center"/>
            <w:hideMark/>
          </w:tcPr>
          <w:p w14:paraId="7F198BB5"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q=1</w:t>
            </w:r>
          </w:p>
        </w:tc>
        <w:tc>
          <w:tcPr>
            <w:tcW w:w="990" w:type="dxa"/>
            <w:shd w:val="clear" w:color="auto" w:fill="FFFFFF" w:themeFill="background1"/>
            <w:noWrap/>
            <w:vAlign w:val="center"/>
            <w:hideMark/>
          </w:tcPr>
          <w:p w14:paraId="12119D89"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Sal T</w:t>
            </w:r>
          </w:p>
        </w:tc>
        <w:tc>
          <w:tcPr>
            <w:tcW w:w="1890" w:type="dxa"/>
            <w:shd w:val="clear" w:color="auto" w:fill="FFFFFF" w:themeFill="background1"/>
            <w:noWrap/>
            <w:vAlign w:val="center"/>
            <w:hideMark/>
          </w:tcPr>
          <w:p w14:paraId="48D55122"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237.71</w:t>
            </w:r>
          </w:p>
        </w:tc>
        <w:tc>
          <w:tcPr>
            <w:tcW w:w="1980" w:type="dxa"/>
            <w:shd w:val="clear" w:color="auto" w:fill="FFFFFF" w:themeFill="background1"/>
            <w:vAlign w:val="center"/>
          </w:tcPr>
          <w:p w14:paraId="3A966051"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41.69</w:t>
            </w:r>
          </w:p>
        </w:tc>
        <w:tc>
          <w:tcPr>
            <w:tcW w:w="1350" w:type="dxa"/>
            <w:shd w:val="clear" w:color="auto" w:fill="FFFFFF" w:themeFill="background1"/>
            <w:vAlign w:val="center"/>
          </w:tcPr>
          <w:p w14:paraId="35F9CA89"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24</w:t>
            </w:r>
          </w:p>
        </w:tc>
      </w:tr>
      <w:tr w:rsidR="005B5C96" w:rsidRPr="00491D83" w14:paraId="09B1BAF9" w14:textId="77777777" w:rsidTr="00491D83">
        <w:trPr>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2F2F2" w:themeFill="background1" w:themeFillShade="F2"/>
            <w:noWrap/>
            <w:vAlign w:val="center"/>
            <w:hideMark/>
          </w:tcPr>
          <w:p w14:paraId="68571299"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q=1</w:t>
            </w:r>
          </w:p>
        </w:tc>
        <w:tc>
          <w:tcPr>
            <w:tcW w:w="990" w:type="dxa"/>
            <w:shd w:val="clear" w:color="auto" w:fill="F2F2F2" w:themeFill="background1" w:themeFillShade="F2"/>
            <w:noWrap/>
            <w:vAlign w:val="center"/>
            <w:hideMark/>
          </w:tcPr>
          <w:p w14:paraId="6F715B3C"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Sal W</w:t>
            </w:r>
          </w:p>
        </w:tc>
        <w:tc>
          <w:tcPr>
            <w:tcW w:w="1890" w:type="dxa"/>
            <w:shd w:val="clear" w:color="auto" w:fill="F2F2F2" w:themeFill="background1" w:themeFillShade="F2"/>
            <w:noWrap/>
            <w:vAlign w:val="center"/>
            <w:hideMark/>
          </w:tcPr>
          <w:p w14:paraId="6AC5FCF6"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124.18 </w:t>
            </w:r>
            <w:r w:rsidRPr="00491D83">
              <w:rPr>
                <w:rFonts w:ascii="Times New Roman" w:eastAsia="Times New Roman" w:hAnsi="Times New Roman" w:cs="Times New Roman"/>
                <w:color w:val="000000"/>
                <w:vertAlign w:val="superscript"/>
              </w:rPr>
              <w:t>C</w:t>
            </w:r>
          </w:p>
        </w:tc>
        <w:tc>
          <w:tcPr>
            <w:tcW w:w="1980" w:type="dxa"/>
            <w:shd w:val="clear" w:color="auto" w:fill="F2F2F2" w:themeFill="background1" w:themeFillShade="F2"/>
            <w:vAlign w:val="center"/>
          </w:tcPr>
          <w:p w14:paraId="4886666C"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36.21 </w:t>
            </w:r>
            <w:r w:rsidRPr="00491D83">
              <w:rPr>
                <w:rFonts w:ascii="Times New Roman" w:eastAsia="Times New Roman" w:hAnsi="Times New Roman" w:cs="Times New Roman"/>
                <w:color w:val="000000"/>
                <w:vertAlign w:val="superscript"/>
              </w:rPr>
              <w:t>C</w:t>
            </w:r>
          </w:p>
        </w:tc>
        <w:tc>
          <w:tcPr>
            <w:tcW w:w="1350" w:type="dxa"/>
            <w:shd w:val="clear" w:color="auto" w:fill="F2F2F2" w:themeFill="background1" w:themeFillShade="F2"/>
            <w:vAlign w:val="center"/>
          </w:tcPr>
          <w:p w14:paraId="67141D37"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22</w:t>
            </w:r>
          </w:p>
        </w:tc>
      </w:tr>
      <w:tr w:rsidR="005B5C96" w:rsidRPr="00491D83" w14:paraId="58C65E7F" w14:textId="77777777" w:rsidTr="00491D8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FFFFF" w:themeFill="background1"/>
            <w:noWrap/>
            <w:vAlign w:val="center"/>
            <w:hideMark/>
          </w:tcPr>
          <w:p w14:paraId="025E9CD5"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q=2</w:t>
            </w:r>
          </w:p>
        </w:tc>
        <w:tc>
          <w:tcPr>
            <w:tcW w:w="990" w:type="dxa"/>
            <w:shd w:val="clear" w:color="auto" w:fill="FFFFFF" w:themeFill="background1"/>
            <w:noWrap/>
            <w:vAlign w:val="center"/>
            <w:hideMark/>
          </w:tcPr>
          <w:p w14:paraId="02B3379A"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Env T</w:t>
            </w:r>
          </w:p>
        </w:tc>
        <w:tc>
          <w:tcPr>
            <w:tcW w:w="1890" w:type="dxa"/>
            <w:shd w:val="clear" w:color="auto" w:fill="FFFFFF" w:themeFill="background1"/>
            <w:noWrap/>
            <w:vAlign w:val="center"/>
            <w:hideMark/>
          </w:tcPr>
          <w:p w14:paraId="3068C679"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145.10</w:t>
            </w:r>
          </w:p>
        </w:tc>
        <w:tc>
          <w:tcPr>
            <w:tcW w:w="1980" w:type="dxa"/>
            <w:shd w:val="clear" w:color="auto" w:fill="FFFFFF" w:themeFill="background1"/>
            <w:vAlign w:val="center"/>
          </w:tcPr>
          <w:p w14:paraId="3E92CAEC"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19.38 </w:t>
            </w:r>
            <w:r w:rsidRPr="00491D83">
              <w:rPr>
                <w:rFonts w:ascii="Times New Roman" w:eastAsia="Times New Roman" w:hAnsi="Times New Roman" w:cs="Times New Roman"/>
                <w:color w:val="000000"/>
                <w:vertAlign w:val="superscript"/>
              </w:rPr>
              <w:t>D</w:t>
            </w:r>
          </w:p>
        </w:tc>
        <w:tc>
          <w:tcPr>
            <w:tcW w:w="1350" w:type="dxa"/>
            <w:shd w:val="clear" w:color="auto" w:fill="FFFFFF" w:themeFill="background1"/>
            <w:vAlign w:val="center"/>
          </w:tcPr>
          <w:p w14:paraId="207F900F"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24</w:t>
            </w:r>
          </w:p>
        </w:tc>
      </w:tr>
      <w:tr w:rsidR="005B5C96" w:rsidRPr="00491D83" w14:paraId="7C883A2C" w14:textId="77777777" w:rsidTr="00491D83">
        <w:trPr>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2F2F2" w:themeFill="background1" w:themeFillShade="F2"/>
            <w:noWrap/>
            <w:vAlign w:val="center"/>
            <w:hideMark/>
          </w:tcPr>
          <w:p w14:paraId="4D24202D"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q=2</w:t>
            </w:r>
          </w:p>
        </w:tc>
        <w:tc>
          <w:tcPr>
            <w:tcW w:w="990" w:type="dxa"/>
            <w:shd w:val="clear" w:color="auto" w:fill="F2F2F2" w:themeFill="background1" w:themeFillShade="F2"/>
            <w:noWrap/>
            <w:vAlign w:val="center"/>
            <w:hideMark/>
          </w:tcPr>
          <w:p w14:paraId="7DF349B7"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Env W</w:t>
            </w:r>
          </w:p>
        </w:tc>
        <w:tc>
          <w:tcPr>
            <w:tcW w:w="1890" w:type="dxa"/>
            <w:shd w:val="clear" w:color="auto" w:fill="F2F2F2" w:themeFill="background1" w:themeFillShade="F2"/>
            <w:noWrap/>
            <w:vAlign w:val="center"/>
            <w:hideMark/>
          </w:tcPr>
          <w:p w14:paraId="795FFCD8"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170.99 </w:t>
            </w:r>
            <w:r w:rsidRPr="00491D83">
              <w:rPr>
                <w:rFonts w:ascii="Times New Roman" w:eastAsia="Times New Roman" w:hAnsi="Times New Roman" w:cs="Times New Roman"/>
                <w:color w:val="000000"/>
                <w:vertAlign w:val="superscript"/>
              </w:rPr>
              <w:t>D</w:t>
            </w:r>
          </w:p>
        </w:tc>
        <w:tc>
          <w:tcPr>
            <w:tcW w:w="1980" w:type="dxa"/>
            <w:shd w:val="clear" w:color="auto" w:fill="F2F2F2" w:themeFill="background1" w:themeFillShade="F2"/>
            <w:vAlign w:val="center"/>
          </w:tcPr>
          <w:p w14:paraId="7273E4F9"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20.87 </w:t>
            </w:r>
            <w:r w:rsidRPr="00491D83">
              <w:rPr>
                <w:rFonts w:ascii="Times New Roman" w:eastAsia="Times New Roman" w:hAnsi="Times New Roman" w:cs="Times New Roman"/>
                <w:color w:val="000000"/>
                <w:vertAlign w:val="superscript"/>
              </w:rPr>
              <w:t>E</w:t>
            </w:r>
          </w:p>
        </w:tc>
        <w:tc>
          <w:tcPr>
            <w:tcW w:w="1350" w:type="dxa"/>
            <w:shd w:val="clear" w:color="auto" w:fill="F2F2F2" w:themeFill="background1" w:themeFillShade="F2"/>
            <w:vAlign w:val="center"/>
          </w:tcPr>
          <w:p w14:paraId="6324240F"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22</w:t>
            </w:r>
          </w:p>
        </w:tc>
      </w:tr>
      <w:tr w:rsidR="005B5C96" w:rsidRPr="00491D83" w14:paraId="2B4EAF0A" w14:textId="77777777" w:rsidTr="00491D8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FFFFF" w:themeFill="background1"/>
            <w:noWrap/>
            <w:vAlign w:val="center"/>
            <w:hideMark/>
          </w:tcPr>
          <w:p w14:paraId="112CAB50"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q=2</w:t>
            </w:r>
          </w:p>
        </w:tc>
        <w:tc>
          <w:tcPr>
            <w:tcW w:w="990" w:type="dxa"/>
            <w:shd w:val="clear" w:color="auto" w:fill="FFFFFF" w:themeFill="background1"/>
            <w:noWrap/>
            <w:vAlign w:val="center"/>
            <w:hideMark/>
          </w:tcPr>
          <w:p w14:paraId="79B4E32B"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Sal T</w:t>
            </w:r>
          </w:p>
        </w:tc>
        <w:tc>
          <w:tcPr>
            <w:tcW w:w="1890" w:type="dxa"/>
            <w:shd w:val="clear" w:color="auto" w:fill="FFFFFF" w:themeFill="background1"/>
            <w:noWrap/>
            <w:vAlign w:val="center"/>
            <w:hideMark/>
          </w:tcPr>
          <w:p w14:paraId="2B7BD0EC"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136.65</w:t>
            </w:r>
          </w:p>
        </w:tc>
        <w:tc>
          <w:tcPr>
            <w:tcW w:w="1980" w:type="dxa"/>
            <w:shd w:val="clear" w:color="auto" w:fill="FFFFFF" w:themeFill="background1"/>
            <w:vAlign w:val="center"/>
          </w:tcPr>
          <w:p w14:paraId="480AC194"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20.12 </w:t>
            </w:r>
            <w:r w:rsidRPr="00491D83">
              <w:rPr>
                <w:rFonts w:ascii="Times New Roman" w:eastAsia="Times New Roman" w:hAnsi="Times New Roman" w:cs="Times New Roman"/>
                <w:color w:val="000000"/>
                <w:vertAlign w:val="superscript"/>
              </w:rPr>
              <w:t>D</w:t>
            </w:r>
          </w:p>
        </w:tc>
        <w:tc>
          <w:tcPr>
            <w:tcW w:w="1350" w:type="dxa"/>
            <w:shd w:val="clear" w:color="auto" w:fill="FFFFFF" w:themeFill="background1"/>
            <w:vAlign w:val="center"/>
          </w:tcPr>
          <w:p w14:paraId="5FB12E6B" w14:textId="77777777" w:rsidR="005B5C96" w:rsidRPr="00491D83" w:rsidRDefault="005B5C96" w:rsidP="00491D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24</w:t>
            </w:r>
          </w:p>
        </w:tc>
      </w:tr>
      <w:tr w:rsidR="005B5C96" w:rsidRPr="00491D83" w14:paraId="6749800C" w14:textId="77777777" w:rsidTr="00491D83">
        <w:trPr>
          <w:trHeight w:val="320"/>
          <w:jc w:val="center"/>
        </w:trPr>
        <w:tc>
          <w:tcPr>
            <w:cnfStyle w:val="001000000000" w:firstRow="0" w:lastRow="0" w:firstColumn="1" w:lastColumn="0" w:oddVBand="0" w:evenVBand="0" w:oddHBand="0" w:evenHBand="0" w:firstRowFirstColumn="0" w:firstRowLastColumn="0" w:lastRowFirstColumn="0" w:lastRowLastColumn="0"/>
            <w:tcW w:w="1345" w:type="dxa"/>
            <w:shd w:val="clear" w:color="auto" w:fill="F2F2F2" w:themeFill="background1" w:themeFillShade="F2"/>
            <w:noWrap/>
            <w:vAlign w:val="center"/>
            <w:hideMark/>
          </w:tcPr>
          <w:p w14:paraId="049DE941" w14:textId="77777777" w:rsidR="005B5C96" w:rsidRPr="00491D83" w:rsidRDefault="005B5C96" w:rsidP="00491D83">
            <w:pPr>
              <w:jc w:val="center"/>
              <w:rPr>
                <w:rFonts w:ascii="Times New Roman" w:eastAsia="Times New Roman" w:hAnsi="Times New Roman" w:cs="Times New Roman"/>
                <w:i/>
                <w:iCs/>
                <w:color w:val="000000"/>
              </w:rPr>
            </w:pPr>
            <w:r w:rsidRPr="00491D83">
              <w:rPr>
                <w:rFonts w:ascii="Times New Roman" w:eastAsia="Times New Roman" w:hAnsi="Times New Roman" w:cs="Times New Roman"/>
                <w:i/>
                <w:iCs/>
                <w:color w:val="000000"/>
              </w:rPr>
              <w:t>q=2</w:t>
            </w:r>
          </w:p>
        </w:tc>
        <w:tc>
          <w:tcPr>
            <w:tcW w:w="990" w:type="dxa"/>
            <w:shd w:val="clear" w:color="auto" w:fill="F2F2F2" w:themeFill="background1" w:themeFillShade="F2"/>
            <w:noWrap/>
            <w:vAlign w:val="center"/>
            <w:hideMark/>
          </w:tcPr>
          <w:p w14:paraId="390A1531"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Sal W</w:t>
            </w:r>
          </w:p>
        </w:tc>
        <w:tc>
          <w:tcPr>
            <w:tcW w:w="1890" w:type="dxa"/>
            <w:shd w:val="clear" w:color="auto" w:fill="F2F2F2" w:themeFill="background1" w:themeFillShade="F2"/>
            <w:noWrap/>
            <w:vAlign w:val="center"/>
            <w:hideMark/>
          </w:tcPr>
          <w:p w14:paraId="52DBC394"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59.61 </w:t>
            </w:r>
            <w:r w:rsidRPr="00491D83">
              <w:rPr>
                <w:rFonts w:ascii="Times New Roman" w:eastAsia="Times New Roman" w:hAnsi="Times New Roman" w:cs="Times New Roman"/>
                <w:color w:val="000000"/>
                <w:vertAlign w:val="superscript"/>
              </w:rPr>
              <w:t>D</w:t>
            </w:r>
          </w:p>
        </w:tc>
        <w:tc>
          <w:tcPr>
            <w:tcW w:w="1980" w:type="dxa"/>
            <w:shd w:val="clear" w:color="auto" w:fill="F2F2F2" w:themeFill="background1" w:themeFillShade="F2"/>
            <w:vAlign w:val="center"/>
          </w:tcPr>
          <w:p w14:paraId="53EAE93E"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 xml:space="preserve">18.89 </w:t>
            </w:r>
            <w:r w:rsidRPr="00491D83">
              <w:rPr>
                <w:rFonts w:ascii="Times New Roman" w:eastAsia="Times New Roman" w:hAnsi="Times New Roman" w:cs="Times New Roman"/>
                <w:color w:val="000000"/>
                <w:vertAlign w:val="superscript"/>
              </w:rPr>
              <w:t>E</w:t>
            </w:r>
          </w:p>
        </w:tc>
        <w:tc>
          <w:tcPr>
            <w:tcW w:w="1350" w:type="dxa"/>
            <w:shd w:val="clear" w:color="auto" w:fill="F2F2F2" w:themeFill="background1" w:themeFillShade="F2"/>
            <w:vAlign w:val="center"/>
          </w:tcPr>
          <w:p w14:paraId="7602DF9D" w14:textId="77777777" w:rsidR="005B5C96" w:rsidRPr="00491D83" w:rsidRDefault="005B5C96" w:rsidP="00491D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91D83">
              <w:rPr>
                <w:rFonts w:ascii="Times New Roman" w:eastAsia="Times New Roman" w:hAnsi="Times New Roman" w:cs="Times New Roman"/>
                <w:color w:val="000000"/>
              </w:rPr>
              <w:t>22</w:t>
            </w:r>
          </w:p>
        </w:tc>
      </w:tr>
    </w:tbl>
    <w:p w14:paraId="1633152E" w14:textId="77777777" w:rsidR="000B341F" w:rsidRDefault="000B341F">
      <w:pPr>
        <w:rPr>
          <w:rFonts w:ascii="Times New Roman" w:hAnsi="Times New Roman" w:cs="Times New Roman"/>
          <w:i/>
          <w:iCs/>
        </w:rPr>
      </w:pPr>
      <w:r>
        <w:rPr>
          <w:rFonts w:ascii="Times New Roman" w:hAnsi="Times New Roman" w:cs="Times New Roman"/>
          <w:i/>
          <w:iCs/>
        </w:rPr>
        <w:br w:type="page"/>
      </w:r>
    </w:p>
    <w:p w14:paraId="288954B4" w14:textId="574BE8E9" w:rsidR="00E0118B" w:rsidRPr="00D75A98" w:rsidRDefault="009E616B" w:rsidP="000B341F">
      <w:pPr>
        <w:spacing w:line="360" w:lineRule="auto"/>
        <w:rPr>
          <w:rFonts w:ascii="Times New Roman" w:hAnsi="Times New Roman" w:cs="Times New Roman"/>
        </w:rPr>
      </w:pPr>
      <w:r w:rsidRPr="00D75A98">
        <w:rPr>
          <w:rFonts w:ascii="Times New Roman" w:hAnsi="Times New Roman" w:cs="Times New Roman"/>
        </w:rPr>
        <w:lastRenderedPageBreak/>
        <w:t>(</w:t>
      </w:r>
      <w:r w:rsidR="00523634" w:rsidRPr="00D75A98">
        <w:rPr>
          <w:rFonts w:ascii="Times New Roman" w:hAnsi="Times New Roman" w:cs="Times New Roman"/>
          <w:i/>
          <w:iCs/>
        </w:rPr>
        <w:t>p</w:t>
      </w:r>
      <w:r w:rsidRPr="00D75A98">
        <w:rPr>
          <w:rFonts w:ascii="Times New Roman" w:hAnsi="Times New Roman" w:cs="Times New Roman"/>
        </w:rPr>
        <w:t xml:space="preserve">&lt;0.05, </w:t>
      </w:r>
      <w:r w:rsidRPr="00D75A98">
        <w:rPr>
          <w:rFonts w:ascii="Times New Roman" w:hAnsi="Times New Roman" w:cs="Times New Roman"/>
          <w:i/>
          <w:iCs/>
        </w:rPr>
        <w:t>p</w:t>
      </w:r>
      <w:r w:rsidRPr="00D75A98">
        <w:rPr>
          <w:rFonts w:ascii="Times New Roman" w:hAnsi="Times New Roman" w:cs="Times New Roman"/>
        </w:rPr>
        <w:t>&lt;0.05). At higher orders of diversity, terrestrial captured salamanders were not significantly different from terrestrial cover objects (</w:t>
      </w:r>
      <w:r w:rsidRPr="00D75A98">
        <w:rPr>
          <w:rFonts w:ascii="Times New Roman" w:hAnsi="Times New Roman" w:cs="Times New Roman"/>
          <w:i/>
          <w:iCs/>
        </w:rPr>
        <w:t>p</w:t>
      </w:r>
      <w:r w:rsidRPr="00D75A98">
        <w:rPr>
          <w:rFonts w:ascii="Times New Roman" w:hAnsi="Times New Roman" w:cs="Times New Roman"/>
        </w:rPr>
        <w:t xml:space="preserve">=0.128, </w:t>
      </w:r>
      <w:r w:rsidRPr="00D75A98">
        <w:rPr>
          <w:rFonts w:ascii="Times New Roman" w:hAnsi="Times New Roman" w:cs="Times New Roman"/>
          <w:i/>
          <w:iCs/>
        </w:rPr>
        <w:t>p</w:t>
      </w:r>
      <w:r w:rsidRPr="00D75A98">
        <w:rPr>
          <w:rFonts w:ascii="Times New Roman" w:hAnsi="Times New Roman" w:cs="Times New Roman"/>
        </w:rPr>
        <w:t xml:space="preserve">=0.63 for </w:t>
      </w:r>
      <w:r w:rsidRPr="00D75A98">
        <w:rPr>
          <w:rFonts w:ascii="Times New Roman" w:hAnsi="Times New Roman" w:cs="Times New Roman"/>
          <w:i/>
          <w:iCs/>
        </w:rPr>
        <w:t>q=1</w:t>
      </w:r>
      <w:r w:rsidRPr="00D75A98">
        <w:rPr>
          <w:rFonts w:ascii="Times New Roman" w:hAnsi="Times New Roman" w:cs="Times New Roman"/>
        </w:rPr>
        <w:t xml:space="preserve"> and </w:t>
      </w:r>
      <w:r w:rsidRPr="00D75A98">
        <w:rPr>
          <w:rFonts w:ascii="Times New Roman" w:hAnsi="Times New Roman" w:cs="Times New Roman"/>
          <w:i/>
          <w:iCs/>
        </w:rPr>
        <w:t>q=2</w:t>
      </w:r>
      <w:r w:rsidRPr="00D75A98">
        <w:rPr>
          <w:rFonts w:ascii="Times New Roman" w:hAnsi="Times New Roman" w:cs="Times New Roman"/>
        </w:rPr>
        <w:t xml:space="preserve">, </w:t>
      </w:r>
      <w:r w:rsidR="00E0118B" w:rsidRPr="00D75A98">
        <w:rPr>
          <w:rFonts w:ascii="Times New Roman" w:hAnsi="Times New Roman" w:cs="Times New Roman"/>
        </w:rPr>
        <w:t xml:space="preserve">respectively), meaning terrestrial cover objects contain comparable bacterial diversity to terrestrial salamander skin when diversity metrics </w:t>
      </w:r>
      <w:proofErr w:type="gramStart"/>
      <w:r w:rsidR="00E0118B" w:rsidRPr="00D75A98">
        <w:rPr>
          <w:rFonts w:ascii="Times New Roman" w:hAnsi="Times New Roman" w:cs="Times New Roman"/>
        </w:rPr>
        <w:t>take into account</w:t>
      </w:r>
      <w:proofErr w:type="gramEnd"/>
      <w:r w:rsidR="00E0118B" w:rsidRPr="00D75A98">
        <w:rPr>
          <w:rFonts w:ascii="Times New Roman" w:hAnsi="Times New Roman" w:cs="Times New Roman"/>
        </w:rPr>
        <w:t xml:space="preserve"> the abundances of taxa.</w:t>
      </w:r>
    </w:p>
    <w:p w14:paraId="37834758" w14:textId="77777777" w:rsidR="00E0118B" w:rsidRPr="00D75A98" w:rsidRDefault="00E0118B" w:rsidP="00E0118B">
      <w:pPr>
        <w:spacing w:line="360" w:lineRule="auto"/>
        <w:ind w:firstLine="720"/>
        <w:rPr>
          <w:rFonts w:ascii="Times New Roman" w:hAnsi="Times New Roman" w:cs="Times New Roman"/>
        </w:rPr>
      </w:pPr>
      <w:r w:rsidRPr="00D75A98">
        <w:rPr>
          <w:rFonts w:ascii="Times New Roman" w:hAnsi="Times New Roman" w:cs="Times New Roman"/>
        </w:rPr>
        <w:t xml:space="preserve">Phylogenetic alpha diversity showed similar trends to taxonomic alpha diversity regarding richness. Both terrestrial and aquatically captured salamanders had significantly fewer effective lineages at </w:t>
      </w:r>
      <w:r w:rsidRPr="00D75A98">
        <w:rPr>
          <w:rFonts w:ascii="Times New Roman" w:hAnsi="Times New Roman" w:cs="Times New Roman"/>
          <w:i/>
          <w:iCs/>
        </w:rPr>
        <w:t>q=0</w:t>
      </w:r>
      <w:r w:rsidRPr="00D75A98">
        <w:rPr>
          <w:rFonts w:ascii="Times New Roman" w:hAnsi="Times New Roman" w:cs="Times New Roman"/>
        </w:rPr>
        <w:t xml:space="preserve"> (</w:t>
      </w:r>
      <w:r w:rsidRPr="00D75A98">
        <w:rPr>
          <w:rFonts w:ascii="Times New Roman" w:hAnsi="Times New Roman" w:cs="Times New Roman"/>
          <w:i/>
          <w:iCs/>
        </w:rPr>
        <w:t>p</w:t>
      </w:r>
      <w:r w:rsidRPr="00D75A98">
        <w:rPr>
          <w:rFonts w:ascii="Times New Roman" w:hAnsi="Times New Roman" w:cs="Times New Roman"/>
        </w:rPr>
        <w:t xml:space="preserve">&lt;0.05, </w:t>
      </w:r>
      <w:r w:rsidRPr="00D75A98">
        <w:rPr>
          <w:rFonts w:ascii="Times New Roman" w:hAnsi="Times New Roman" w:cs="Times New Roman"/>
          <w:i/>
          <w:iCs/>
        </w:rPr>
        <w:t>p</w:t>
      </w:r>
      <w:r w:rsidRPr="00D75A98">
        <w:rPr>
          <w:rFonts w:ascii="Times New Roman" w:hAnsi="Times New Roman" w:cs="Times New Roman"/>
        </w:rPr>
        <w:t xml:space="preserve">&lt;0.05, </w:t>
      </w:r>
      <w:r w:rsidRPr="00D75A98">
        <w:rPr>
          <w:rFonts w:ascii="Times New Roman" w:hAnsi="Times New Roman" w:cs="Times New Roman"/>
          <w:b/>
          <w:bCs/>
        </w:rPr>
        <w:t>Table 4</w:t>
      </w:r>
      <w:r w:rsidRPr="00D75A98">
        <w:rPr>
          <w:rFonts w:ascii="Times New Roman" w:hAnsi="Times New Roman" w:cs="Times New Roman"/>
        </w:rPr>
        <w:t xml:space="preserve">). Assemblages on salamanders captured in water also had lower phylogenetic diversity than aquatic cover objects at </w:t>
      </w:r>
      <w:r w:rsidRPr="00D75A98">
        <w:rPr>
          <w:rFonts w:ascii="Times New Roman" w:hAnsi="Times New Roman" w:cs="Times New Roman"/>
          <w:i/>
          <w:iCs/>
        </w:rPr>
        <w:t>q=1</w:t>
      </w:r>
      <w:r w:rsidRPr="00D75A98">
        <w:rPr>
          <w:rFonts w:ascii="Times New Roman" w:hAnsi="Times New Roman" w:cs="Times New Roman"/>
        </w:rPr>
        <w:t xml:space="preserve">, while terrestrial salamander bacterial communities had slightly higher phylogenetic diversity than terrestrial cover objects (41.69 vs 40.43), but not significantly so. Interestingly, at </w:t>
      </w:r>
      <w:r w:rsidRPr="00D75A98">
        <w:rPr>
          <w:rFonts w:ascii="Times New Roman" w:hAnsi="Times New Roman" w:cs="Times New Roman"/>
          <w:i/>
          <w:iCs/>
        </w:rPr>
        <w:t>q=2</w:t>
      </w:r>
      <w:r w:rsidRPr="00D75A98">
        <w:rPr>
          <w:rFonts w:ascii="Times New Roman" w:hAnsi="Times New Roman" w:cs="Times New Roman"/>
        </w:rPr>
        <w:t xml:space="preserve">, corresponding to Rao’s quadratic entropy, terrestrial salamander samples had a significantly higher effective number of lineages than terrestrial cover objects, while aquatically captured salamanders had significantly fewer than their counterparts, indicating increased phylogenetic breadth on terrestrial captured salamanders. While there were no significant differences pertaining to sampling sites or between species of salamanders, salamanders captured in aquatic habitats had significantly less taxonomic diversity at all orders of </w:t>
      </w:r>
      <w:r w:rsidRPr="00D75A98">
        <w:rPr>
          <w:rFonts w:ascii="Times New Roman" w:hAnsi="Times New Roman" w:cs="Times New Roman"/>
          <w:i/>
          <w:iCs/>
        </w:rPr>
        <w:t>q</w:t>
      </w:r>
      <w:r w:rsidRPr="00D75A98">
        <w:rPr>
          <w:rFonts w:ascii="Times New Roman" w:hAnsi="Times New Roman" w:cs="Times New Roman"/>
        </w:rPr>
        <w:t xml:space="preserve">, but only significantly less phylogenetic diversity at </w:t>
      </w:r>
      <w:r w:rsidRPr="00D75A98">
        <w:rPr>
          <w:rFonts w:ascii="Times New Roman" w:hAnsi="Times New Roman" w:cs="Times New Roman"/>
          <w:i/>
          <w:iCs/>
        </w:rPr>
        <w:t>q=1</w:t>
      </w:r>
      <w:r w:rsidRPr="00D75A98">
        <w:rPr>
          <w:rFonts w:ascii="Times New Roman" w:hAnsi="Times New Roman" w:cs="Times New Roman"/>
        </w:rPr>
        <w:t xml:space="preserve"> (</w:t>
      </w:r>
      <w:r w:rsidRPr="00D75A98">
        <w:rPr>
          <w:rFonts w:ascii="Times New Roman" w:hAnsi="Times New Roman" w:cs="Times New Roman"/>
          <w:i/>
          <w:iCs/>
        </w:rPr>
        <w:t>p</w:t>
      </w:r>
      <w:r w:rsidRPr="00D75A98">
        <w:rPr>
          <w:rFonts w:ascii="Times New Roman" w:hAnsi="Times New Roman" w:cs="Times New Roman"/>
        </w:rPr>
        <w:t>=0.039), meaning comparable lineage representation despite taxonomic diversity differences.</w:t>
      </w:r>
    </w:p>
    <w:p w14:paraId="066DA28A" w14:textId="77777777" w:rsidR="00E0118B" w:rsidRPr="00491D83" w:rsidRDefault="00E0118B" w:rsidP="00E0118B">
      <w:pPr>
        <w:pStyle w:val="Heading3"/>
        <w:spacing w:line="360" w:lineRule="auto"/>
        <w:rPr>
          <w:rFonts w:ascii="Times New Roman" w:hAnsi="Times New Roman" w:cs="Times New Roman"/>
          <w:b w:val="0"/>
          <w:bCs w:val="0"/>
          <w:i w:val="0"/>
          <w:iCs/>
        </w:rPr>
      </w:pPr>
      <w:bookmarkStart w:id="68" w:name="_Toc165028072"/>
      <w:r w:rsidRPr="00491D83">
        <w:rPr>
          <w:rFonts w:ascii="Times New Roman" w:hAnsi="Times New Roman" w:cs="Times New Roman"/>
          <w:b w:val="0"/>
          <w:bCs w:val="0"/>
          <w:iCs/>
        </w:rPr>
        <w:t xml:space="preserve">Stochasticity dominates host </w:t>
      </w:r>
      <w:proofErr w:type="gramStart"/>
      <w:r w:rsidRPr="00491D83">
        <w:rPr>
          <w:rFonts w:ascii="Times New Roman" w:hAnsi="Times New Roman" w:cs="Times New Roman"/>
          <w:b w:val="0"/>
          <w:bCs w:val="0"/>
          <w:iCs/>
        </w:rPr>
        <w:t>communities</w:t>
      </w:r>
      <w:bookmarkEnd w:id="68"/>
      <w:proofErr w:type="gramEnd"/>
    </w:p>
    <w:p w14:paraId="7AB7B797" w14:textId="77777777" w:rsidR="000B341F" w:rsidRDefault="00E0118B" w:rsidP="000B341F">
      <w:pPr>
        <w:spacing w:line="360" w:lineRule="auto"/>
        <w:ind w:firstLine="720"/>
        <w:rPr>
          <w:rFonts w:ascii="Times New Roman" w:hAnsi="Times New Roman" w:cs="Times New Roman"/>
        </w:rPr>
      </w:pPr>
      <w:r w:rsidRPr="00D75A98">
        <w:rPr>
          <w:rFonts w:ascii="Times New Roman" w:hAnsi="Times New Roman" w:cs="Times New Roman"/>
        </w:rPr>
        <w:t xml:space="preserve">We assessed pairwise phylogenetic and taxonomic dissimilarity through </w:t>
      </w:r>
      <w:r w:rsidR="00D24CDA">
        <w:rPr>
          <w:rFonts w:ascii="Times New Roman" w:hAnsi="Times New Roman" w:cs="Times New Roman"/>
        </w:rPr>
        <w:sym w:font="Symbol" w:char="F062"/>
      </w:r>
      <w:r w:rsidRPr="00D75A98">
        <w:rPr>
          <w:rFonts w:ascii="Times New Roman" w:hAnsi="Times New Roman" w:cs="Times New Roman"/>
        </w:rPr>
        <w:t xml:space="preserve">NTI and </w:t>
      </w:r>
      <w:proofErr w:type="spellStart"/>
      <w:r w:rsidRPr="00D75A98">
        <w:rPr>
          <w:rFonts w:ascii="Times New Roman" w:hAnsi="Times New Roman" w:cs="Times New Roman"/>
        </w:rPr>
        <w:t>RC</w:t>
      </w:r>
      <w:r w:rsidRPr="00D75A98">
        <w:rPr>
          <w:rFonts w:ascii="Times New Roman" w:hAnsi="Times New Roman" w:cs="Times New Roman"/>
          <w:vertAlign w:val="subscript"/>
        </w:rPr>
        <w:t>Horn</w:t>
      </w:r>
      <w:proofErr w:type="spellEnd"/>
      <w:r w:rsidRPr="00D75A98">
        <w:rPr>
          <w:rFonts w:ascii="Times New Roman" w:hAnsi="Times New Roman" w:cs="Times New Roman"/>
          <w:vertAlign w:val="subscript"/>
        </w:rPr>
        <w:t xml:space="preserve"> </w:t>
      </w:r>
      <w:r w:rsidRPr="00D75A98">
        <w:rPr>
          <w:rFonts w:ascii="Times New Roman" w:hAnsi="Times New Roman" w:cs="Times New Roman"/>
        </w:rPr>
        <w:t>to disentangle abundance-based community dissimilarity. We focused on three comparisons for 97% clustered sequences and broke up samples into aquatic or terrestrial origin. The first compared each single cover object to other cover objects within the site.</w:t>
      </w:r>
      <w:r>
        <w:rPr>
          <w:rFonts w:ascii="Times New Roman" w:hAnsi="Times New Roman" w:cs="Times New Roman"/>
        </w:rPr>
        <w:t xml:space="preserve"> </w:t>
      </w:r>
      <w:r w:rsidRPr="00D75A98">
        <w:rPr>
          <w:rFonts w:ascii="Times New Roman" w:hAnsi="Times New Roman" w:cs="Times New Roman"/>
        </w:rPr>
        <w:t xml:space="preserve">The second and third compared each salamander to their immediate cover object and to other salamanders </w:t>
      </w:r>
      <w:r w:rsidR="00207B9D" w:rsidRPr="00D75A98">
        <w:rPr>
          <w:rFonts w:ascii="Times New Roman" w:hAnsi="Times New Roman" w:cs="Times New Roman"/>
        </w:rPr>
        <w:t>captured within the site, respectively. Aquatic cover object comparisons found only 3/111 (2.7%) were more phylogenetically similar than expected under a null</w:t>
      </w:r>
      <w:r w:rsidR="00207B9D">
        <w:rPr>
          <w:rFonts w:ascii="Times New Roman" w:hAnsi="Times New Roman" w:cs="Times New Roman"/>
        </w:rPr>
        <w:t xml:space="preserve"> </w:t>
      </w:r>
      <w:r w:rsidR="00207B9D" w:rsidRPr="00D75A98">
        <w:rPr>
          <w:rFonts w:ascii="Times New Roman" w:hAnsi="Times New Roman" w:cs="Times New Roman"/>
        </w:rPr>
        <w:t>distribution, while 13/111 (11.7%) were phylogenetically more different (</w:t>
      </w:r>
      <w:r w:rsidR="00207B9D" w:rsidRPr="00D75A98">
        <w:rPr>
          <w:rFonts w:ascii="Times New Roman" w:hAnsi="Times New Roman" w:cs="Times New Roman"/>
          <w:b/>
          <w:bCs/>
        </w:rPr>
        <w:t>Fig. 8, facet 1, left</w:t>
      </w:r>
      <w:r w:rsidR="00207B9D" w:rsidRPr="00D75A98">
        <w:rPr>
          <w:rFonts w:ascii="Times New Roman" w:hAnsi="Times New Roman" w:cs="Times New Roman"/>
        </w:rPr>
        <w:t>). The remaining 95</w:t>
      </w:r>
      <w:r w:rsidR="00207B9D" w:rsidRPr="00207B9D">
        <w:rPr>
          <w:rFonts w:ascii="Times New Roman" w:hAnsi="Times New Roman" w:cs="Times New Roman"/>
        </w:rPr>
        <w:t xml:space="preserve"> </w:t>
      </w:r>
      <w:r w:rsidR="00207B9D" w:rsidRPr="00D75A98">
        <w:rPr>
          <w:rFonts w:ascii="Times New Roman" w:hAnsi="Times New Roman" w:cs="Times New Roman"/>
        </w:rPr>
        <w:t>comparisons were neither more phylogenetically similar nor different than expected and had to be parsed taxonomically. Of these, 22 (19.8%) were taxonomically similar while 16 were</w:t>
      </w:r>
      <w:r w:rsidR="00207B9D">
        <w:rPr>
          <w:rFonts w:ascii="Times New Roman" w:hAnsi="Times New Roman" w:cs="Times New Roman"/>
        </w:rPr>
        <w:t xml:space="preserve"> </w:t>
      </w:r>
      <w:proofErr w:type="gramStart"/>
      <w:r w:rsidR="00207B9D">
        <w:rPr>
          <w:rFonts w:ascii="Times New Roman" w:hAnsi="Times New Roman" w:cs="Times New Roman"/>
        </w:rPr>
        <w:t>taxonomically</w:t>
      </w:r>
      <w:proofErr w:type="gramEnd"/>
      <w:r w:rsidR="000B341F">
        <w:rPr>
          <w:rFonts w:ascii="Times New Roman" w:hAnsi="Times New Roman" w:cs="Times New Roman"/>
        </w:rPr>
        <w:t xml:space="preserve"> </w:t>
      </w:r>
    </w:p>
    <w:p w14:paraId="452C499C" w14:textId="680A90AE" w:rsidR="000B341F" w:rsidRDefault="000B341F">
      <w:pPr>
        <w:rPr>
          <w:rFonts w:ascii="Times New Roman" w:hAnsi="Times New Roman" w:cs="Times New Roman"/>
        </w:rPr>
      </w:pPr>
      <w:r>
        <w:rPr>
          <w:rFonts w:ascii="Times New Roman" w:hAnsi="Times New Roman" w:cs="Times New Roman"/>
        </w:rPr>
        <w:lastRenderedPageBreak/>
        <w:br w:type="page"/>
      </w:r>
      <w:r>
        <w:rPr>
          <w:rFonts w:ascii="Times" w:hAnsi="Times"/>
          <w:noProof/>
        </w:rPr>
        <w:drawing>
          <wp:anchor distT="0" distB="0" distL="114300" distR="114300" simplePos="0" relativeHeight="251811840" behindDoc="1" locked="0" layoutInCell="1" allowOverlap="1" wp14:anchorId="785D45BD" wp14:editId="2D495E65">
            <wp:simplePos x="0" y="0"/>
            <wp:positionH relativeFrom="margin">
              <wp:posOffset>0</wp:posOffset>
            </wp:positionH>
            <wp:positionV relativeFrom="margin">
              <wp:posOffset>187960</wp:posOffset>
            </wp:positionV>
            <wp:extent cx="5935980" cy="323723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extLst>
                        <a:ext uri="{28A0092B-C50C-407E-A947-70E740481C1C}">
                          <a14:useLocalDpi xmlns:a14="http://schemas.microsoft.com/office/drawing/2010/main" val="0"/>
                        </a:ext>
                      </a:extLst>
                    </a:blip>
                    <a:stretch>
                      <a:fillRect/>
                    </a:stretch>
                  </pic:blipFill>
                  <pic:spPr>
                    <a:xfrm>
                      <a:off x="0" y="0"/>
                      <a:ext cx="5935980" cy="323723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12864" behindDoc="1" locked="0" layoutInCell="1" allowOverlap="1" wp14:anchorId="72B71065" wp14:editId="73FCEC5F">
                <wp:simplePos x="0" y="0"/>
                <wp:positionH relativeFrom="column">
                  <wp:posOffset>3810</wp:posOffset>
                </wp:positionH>
                <wp:positionV relativeFrom="paragraph">
                  <wp:posOffset>3585210</wp:posOffset>
                </wp:positionV>
                <wp:extent cx="5935345" cy="635"/>
                <wp:effectExtent l="0" t="0" r="0" b="5080"/>
                <wp:wrapTight wrapText="bothSides">
                  <wp:wrapPolygon edited="0">
                    <wp:start x="0" y="0"/>
                    <wp:lineTo x="0" y="21273"/>
                    <wp:lineTo x="21538" y="21273"/>
                    <wp:lineTo x="21538" y="0"/>
                    <wp:lineTo x="0" y="0"/>
                  </wp:wrapPolygon>
                </wp:wrapTight>
                <wp:docPr id="27" name="Text Box 27"/>
                <wp:cNvGraphicFramePr/>
                <a:graphic xmlns:a="http://schemas.openxmlformats.org/drawingml/2006/main">
                  <a:graphicData uri="http://schemas.microsoft.com/office/word/2010/wordprocessingShape">
                    <wps:wsp>
                      <wps:cNvSpPr txBox="1"/>
                      <wps:spPr>
                        <a:xfrm>
                          <a:off x="0" y="0"/>
                          <a:ext cx="5935345" cy="635"/>
                        </a:xfrm>
                        <a:prstGeom prst="rect">
                          <a:avLst/>
                        </a:prstGeom>
                        <a:solidFill>
                          <a:prstClr val="white"/>
                        </a:solidFill>
                        <a:ln>
                          <a:noFill/>
                        </a:ln>
                      </wps:spPr>
                      <wps:txbx>
                        <w:txbxContent>
                          <w:p w14:paraId="057B58CE" w14:textId="29E587AB" w:rsidR="000B341F" w:rsidRPr="00491D83" w:rsidRDefault="000B341F" w:rsidP="000B341F">
                            <w:pPr>
                              <w:pStyle w:val="Caption"/>
                              <w:rPr>
                                <w:rFonts w:ascii="Times New Roman" w:hAnsi="Times New Roman" w:cs="Times New Roman"/>
                                <w:b w:val="0"/>
                                <w:bCs w:val="0"/>
                                <w:noProof/>
                              </w:rPr>
                            </w:pPr>
                            <w:bookmarkStart w:id="69" w:name="_Toc164888213"/>
                            <w:bookmarkStart w:id="70" w:name="_Toc164888265"/>
                            <w:bookmarkStart w:id="71" w:name="_Toc164888597"/>
                            <w:bookmarkStart w:id="72" w:name="_Toc164888693"/>
                            <w:bookmarkStart w:id="73" w:name="_Toc164888829"/>
                            <w:bookmarkStart w:id="74" w:name="_Toc165024865"/>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8</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Similarity and Differences between Sample groups. Colors represent average Phylogenetic (BNTI) and Taxonomic (</w:t>
                            </w:r>
                            <w:proofErr w:type="spellStart"/>
                            <w:r w:rsidRPr="00491D83">
                              <w:rPr>
                                <w:rFonts w:ascii="Times New Roman" w:hAnsi="Times New Roman" w:cs="Times New Roman"/>
                                <w:b w:val="0"/>
                                <w:bCs w:val="0"/>
                              </w:rPr>
                              <w:t>RC</w:t>
                            </w:r>
                            <w:r w:rsidRPr="00491D83">
                              <w:rPr>
                                <w:rFonts w:ascii="Times New Roman" w:hAnsi="Times New Roman" w:cs="Times New Roman"/>
                                <w:b w:val="0"/>
                                <w:bCs w:val="0"/>
                                <w:vertAlign w:val="subscript"/>
                              </w:rPr>
                              <w:t>Horn</w:t>
                            </w:r>
                            <w:proofErr w:type="spellEnd"/>
                            <w:r w:rsidRPr="00491D83">
                              <w:rPr>
                                <w:rFonts w:ascii="Times New Roman" w:hAnsi="Times New Roman" w:cs="Times New Roman"/>
                                <w:b w:val="0"/>
                                <w:bCs w:val="0"/>
                              </w:rPr>
                              <w:t>) values for each sample.</w:t>
                            </w:r>
                            <w:bookmarkEnd w:id="69"/>
                            <w:bookmarkEnd w:id="70"/>
                            <w:bookmarkEnd w:id="71"/>
                            <w:bookmarkEnd w:id="72"/>
                            <w:bookmarkEnd w:id="73"/>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B71065" id="Text Box 27" o:spid="_x0000_s1033" type="#_x0000_t202" style="position:absolute;margin-left:.3pt;margin-top:282.3pt;width:467.35pt;height:.05pt;z-index:-251503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" stroked="f">
                <v:textbox style="mso-fit-shape-to-text:t" inset="0,0,0,0">
                  <w:txbxContent>
                    <w:p w14:paraId="057B58CE" w14:textId="29E587AB" w:rsidR="000B341F" w:rsidRPr="00491D83" w:rsidRDefault="000B341F" w:rsidP="000B341F">
                      <w:pPr>
                        <w:pStyle w:val="Caption"/>
                        <w:rPr>
                          <w:rFonts w:ascii="Times New Roman" w:hAnsi="Times New Roman" w:cs="Times New Roman"/>
                          <w:b w:val="0"/>
                          <w:bCs w:val="0"/>
                          <w:noProof/>
                        </w:rPr>
                      </w:pPr>
                      <w:bookmarkStart w:id="75" w:name="_Toc164888213"/>
                      <w:bookmarkStart w:id="76" w:name="_Toc164888265"/>
                      <w:bookmarkStart w:id="77" w:name="_Toc164888597"/>
                      <w:bookmarkStart w:id="78" w:name="_Toc164888693"/>
                      <w:bookmarkStart w:id="79" w:name="_Toc164888829"/>
                      <w:bookmarkStart w:id="80" w:name="_Toc165024865"/>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8</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Similarity and Differences between Sample groups. Colors represent average Phylogenetic (BNTI) and Taxonomic (</w:t>
                      </w:r>
                      <w:proofErr w:type="spellStart"/>
                      <w:r w:rsidRPr="00491D83">
                        <w:rPr>
                          <w:rFonts w:ascii="Times New Roman" w:hAnsi="Times New Roman" w:cs="Times New Roman"/>
                          <w:b w:val="0"/>
                          <w:bCs w:val="0"/>
                        </w:rPr>
                        <w:t>RC</w:t>
                      </w:r>
                      <w:r w:rsidRPr="00491D83">
                        <w:rPr>
                          <w:rFonts w:ascii="Times New Roman" w:hAnsi="Times New Roman" w:cs="Times New Roman"/>
                          <w:b w:val="0"/>
                          <w:bCs w:val="0"/>
                          <w:vertAlign w:val="subscript"/>
                        </w:rPr>
                        <w:t>Horn</w:t>
                      </w:r>
                      <w:proofErr w:type="spellEnd"/>
                      <w:r w:rsidRPr="00491D83">
                        <w:rPr>
                          <w:rFonts w:ascii="Times New Roman" w:hAnsi="Times New Roman" w:cs="Times New Roman"/>
                          <w:b w:val="0"/>
                          <w:bCs w:val="0"/>
                        </w:rPr>
                        <w:t>) values for each sample.</w:t>
                      </w:r>
                      <w:bookmarkEnd w:id="75"/>
                      <w:bookmarkEnd w:id="76"/>
                      <w:bookmarkEnd w:id="77"/>
                      <w:bookmarkEnd w:id="78"/>
                      <w:bookmarkEnd w:id="79"/>
                      <w:bookmarkEnd w:id="80"/>
                    </w:p>
                  </w:txbxContent>
                </v:textbox>
                <w10:wrap type="tight"/>
              </v:shape>
            </w:pict>
          </mc:Fallback>
        </mc:AlternateContent>
      </w:r>
    </w:p>
    <w:p w14:paraId="0073695F" w14:textId="750B14DD" w:rsidR="004D2321" w:rsidRDefault="00D75A98" w:rsidP="000B341F">
      <w:pPr>
        <w:spacing w:line="360" w:lineRule="auto"/>
        <w:rPr>
          <w:rFonts w:ascii="Times New Roman" w:hAnsi="Times New Roman" w:cs="Times New Roman"/>
        </w:rPr>
      </w:pPr>
      <w:r w:rsidRPr="00D75A98">
        <w:rPr>
          <w:rFonts w:ascii="Times New Roman" w:hAnsi="Times New Roman" w:cs="Times New Roman"/>
        </w:rPr>
        <w:lastRenderedPageBreak/>
        <w:t xml:space="preserve">different (14.4%). The remaining 57 (51.4%) of comparisons were ‘Undetermined’ (not significantly different from their null distributions). Comparing terrestrial </w:t>
      </w:r>
    </w:p>
    <w:p w14:paraId="79A854DA" w14:textId="2CD225EC" w:rsidR="00C70566" w:rsidRPr="004D2321" w:rsidRDefault="00D75A98" w:rsidP="004D2321">
      <w:pPr>
        <w:spacing w:line="360" w:lineRule="auto"/>
        <w:rPr>
          <w:rFonts w:ascii="Times New Roman" w:hAnsi="Times New Roman" w:cs="Times New Roman"/>
        </w:rPr>
      </w:pPr>
      <w:r w:rsidRPr="00D75A98">
        <w:rPr>
          <w:rFonts w:ascii="Times New Roman" w:hAnsi="Times New Roman" w:cs="Times New Roman"/>
        </w:rPr>
        <w:t>cover objects to other terrestrial cover objects within a site (136 pairwise comparisons) yielded similar results, with only 11/136 (8.1%) of samples being more phylogenetically similar, compared to 22/136 (16.2%) being phylogenetically different (</w:t>
      </w:r>
      <w:r w:rsidRPr="00D75A98">
        <w:rPr>
          <w:rFonts w:ascii="Times New Roman" w:hAnsi="Times New Roman" w:cs="Times New Roman"/>
          <w:b/>
          <w:bCs/>
        </w:rPr>
        <w:t>Fig. 8, facet 1, right</w:t>
      </w:r>
      <w:r w:rsidRPr="00D75A98">
        <w:rPr>
          <w:rFonts w:ascii="Times New Roman" w:hAnsi="Times New Roman" w:cs="Times New Roman"/>
        </w:rPr>
        <w:t xml:space="preserve">). The remaining 103 comparisons needed to be parsed taxonomically. Nearly twenty-three percent of </w:t>
      </w:r>
    </w:p>
    <w:p w14:paraId="145B0421" w14:textId="17D5E8A1" w:rsidR="00E0118B" w:rsidRDefault="00D75A98" w:rsidP="00E0118B">
      <w:pPr>
        <w:spacing w:line="360" w:lineRule="auto"/>
        <w:rPr>
          <w:rFonts w:ascii="Times New Roman" w:hAnsi="Times New Roman" w:cs="Times New Roman"/>
        </w:rPr>
      </w:pPr>
      <w:r w:rsidRPr="00D75A98">
        <w:rPr>
          <w:rFonts w:ascii="Times New Roman" w:hAnsi="Times New Roman" w:cs="Times New Roman"/>
        </w:rPr>
        <w:t xml:space="preserve">these (31/136) were either taxonomically similar or taxonomically different and 30.1% (41/136) were undetermined, meaning they resembled similarity expected from a probabilistically assembled community. Thus, comparing cover objects to other cover objects reveals some heterogeneity associated with microhabitat across a small space, whether it be taxonomic or phylogenetically driven, and a substantial contribution of randomness. </w:t>
      </w:r>
    </w:p>
    <w:p w14:paraId="7DA16372" w14:textId="03BFAC11" w:rsidR="00E0118B" w:rsidRDefault="00E0118B" w:rsidP="00E0118B">
      <w:pPr>
        <w:spacing w:line="360" w:lineRule="auto"/>
        <w:ind w:firstLine="720"/>
        <w:rPr>
          <w:rFonts w:ascii="Times New Roman" w:hAnsi="Times New Roman" w:cs="Times New Roman"/>
        </w:rPr>
      </w:pPr>
      <w:r w:rsidRPr="00D75A98">
        <w:rPr>
          <w:rFonts w:ascii="Times New Roman" w:hAnsi="Times New Roman" w:cs="Times New Roman"/>
        </w:rPr>
        <w:t>Horizontal colonization from cover objects to salamanders is presumed to be the predominant way salamanders acquire microbes. However, salamander skin and microbial interactions have been hypothesized to result in differences between salamanders and cover objects. Aquatically captured salamanders had no ‘Phylogenetically Similar’ samples and only 4/22 (18.2%) being phylogenetically different (</w:t>
      </w:r>
      <w:r w:rsidRPr="00D75A98">
        <w:rPr>
          <w:rFonts w:ascii="Times New Roman" w:hAnsi="Times New Roman" w:cs="Times New Roman"/>
          <w:b/>
          <w:bCs/>
        </w:rPr>
        <w:t>Fig. 8, facet 2, left</w:t>
      </w:r>
      <w:r w:rsidRPr="00D75A98">
        <w:rPr>
          <w:rFonts w:ascii="Times New Roman" w:hAnsi="Times New Roman" w:cs="Times New Roman"/>
        </w:rPr>
        <w:t>).</w:t>
      </w:r>
      <w:r>
        <w:rPr>
          <w:rFonts w:ascii="Times New Roman" w:hAnsi="Times New Roman" w:cs="Times New Roman"/>
        </w:rPr>
        <w:t xml:space="preserve"> </w:t>
      </w:r>
      <w:r w:rsidRPr="00D75A98">
        <w:rPr>
          <w:rFonts w:ascii="Times New Roman" w:hAnsi="Times New Roman" w:cs="Times New Roman"/>
        </w:rPr>
        <w:t>Fifteen of 22 comparisons (68.2%) were taxonomically different,</w:t>
      </w:r>
      <w:r>
        <w:rPr>
          <w:rFonts w:ascii="Times New Roman" w:hAnsi="Times New Roman" w:cs="Times New Roman"/>
        </w:rPr>
        <w:t xml:space="preserve"> </w:t>
      </w:r>
      <w:r w:rsidRPr="00D75A98">
        <w:rPr>
          <w:rFonts w:ascii="Times New Roman" w:hAnsi="Times New Roman" w:cs="Times New Roman"/>
        </w:rPr>
        <w:t>while only one comparison was taxonomically similar and two comparisons were undetermined, respectively.</w:t>
      </w:r>
      <w:r>
        <w:rPr>
          <w:rFonts w:ascii="Times New Roman" w:hAnsi="Times New Roman" w:cs="Times New Roman"/>
        </w:rPr>
        <w:t xml:space="preserve"> </w:t>
      </w:r>
      <w:r w:rsidRPr="00D75A98">
        <w:rPr>
          <w:rFonts w:ascii="Times New Roman" w:hAnsi="Times New Roman" w:cs="Times New Roman"/>
        </w:rPr>
        <w:t>Terrestrially captured salamanders showed slightly different trends. Of the 24 terrestrial salamander-cover object comparisons, none showed phylogenetic similarity, while only 3 (12.5%) were ‘Phylogenetically Different’ (</w:t>
      </w:r>
      <w:r w:rsidRPr="00D75A98">
        <w:rPr>
          <w:rFonts w:ascii="Times New Roman" w:hAnsi="Times New Roman" w:cs="Times New Roman"/>
          <w:b/>
          <w:bCs/>
        </w:rPr>
        <w:t>Fig. 8, facet 2, right</w:t>
      </w:r>
      <w:r w:rsidRPr="00D75A98">
        <w:rPr>
          <w:rFonts w:ascii="Times New Roman" w:hAnsi="Times New Roman" w:cs="Times New Roman"/>
        </w:rPr>
        <w:t>). When parsing the remaining (dis)similarities taxonomically, 7 (29.2%) were taxonomically different, while none were taxonomically more similar than expected</w:t>
      </w:r>
      <w:r>
        <w:rPr>
          <w:rFonts w:ascii="Times New Roman" w:hAnsi="Times New Roman" w:cs="Times New Roman"/>
        </w:rPr>
        <w:t xml:space="preserve"> </w:t>
      </w:r>
      <w:r w:rsidRPr="00D75A98">
        <w:rPr>
          <w:rFonts w:ascii="Times New Roman" w:hAnsi="Times New Roman" w:cs="Times New Roman"/>
        </w:rPr>
        <w:t xml:space="preserve">under a null distribution. </w:t>
      </w:r>
      <w:proofErr w:type="gramStart"/>
      <w:r w:rsidRPr="00D75A98">
        <w:rPr>
          <w:rFonts w:ascii="Times New Roman" w:hAnsi="Times New Roman" w:cs="Times New Roman"/>
        </w:rPr>
        <w:t>The majority of</w:t>
      </w:r>
      <w:proofErr w:type="gramEnd"/>
      <w:r w:rsidRPr="00D75A98">
        <w:rPr>
          <w:rFonts w:ascii="Times New Roman" w:hAnsi="Times New Roman" w:cs="Times New Roman"/>
        </w:rPr>
        <w:t xml:space="preserve"> terrestrial salamander-cover object comparisons (14/24) were undetermined. Comparing salamanders to any other cover object within a site showed consistent patterns, with ‘Undetermined’ and ‘Taxonomically Different’ comprising </w:t>
      </w:r>
      <w:proofErr w:type="gramStart"/>
      <w:r w:rsidRPr="00D75A98">
        <w:rPr>
          <w:rFonts w:ascii="Times New Roman" w:hAnsi="Times New Roman" w:cs="Times New Roman"/>
        </w:rPr>
        <w:t>the majority of</w:t>
      </w:r>
      <w:proofErr w:type="gramEnd"/>
      <w:r w:rsidRPr="00D75A98">
        <w:rPr>
          <w:rFonts w:ascii="Times New Roman" w:hAnsi="Times New Roman" w:cs="Times New Roman"/>
        </w:rPr>
        <w:t xml:space="preserve"> group</w:t>
      </w:r>
      <w:r w:rsidR="00207B9D">
        <w:rPr>
          <w:rFonts w:ascii="Times New Roman" w:hAnsi="Times New Roman" w:cs="Times New Roman"/>
        </w:rPr>
        <w:t xml:space="preserve"> </w:t>
      </w:r>
      <w:r w:rsidR="00207B9D" w:rsidRPr="00D75A98">
        <w:rPr>
          <w:rFonts w:ascii="Times New Roman" w:hAnsi="Times New Roman" w:cs="Times New Roman"/>
        </w:rPr>
        <w:t xml:space="preserve">comparisons. Thus, salamanders are comprised of microbes that are phylogenetically </w:t>
      </w:r>
      <w:proofErr w:type="gramStart"/>
      <w:r w:rsidR="00207B9D" w:rsidRPr="00D75A98">
        <w:rPr>
          <w:rFonts w:ascii="Times New Roman" w:hAnsi="Times New Roman" w:cs="Times New Roman"/>
        </w:rPr>
        <w:t>similar to</w:t>
      </w:r>
      <w:proofErr w:type="gramEnd"/>
      <w:r w:rsidR="00207B9D" w:rsidRPr="00D75A98">
        <w:rPr>
          <w:rFonts w:ascii="Times New Roman" w:hAnsi="Times New Roman" w:cs="Times New Roman"/>
        </w:rPr>
        <w:t xml:space="preserve"> their cover objects, with differences arising at lower taxonomic levels. Differences between aquatically captured salamanders and their cover objects consistently showed taxonomic</w:t>
      </w:r>
      <w:r w:rsidR="00207B9D">
        <w:rPr>
          <w:rFonts w:ascii="Times New Roman" w:hAnsi="Times New Roman" w:cs="Times New Roman"/>
        </w:rPr>
        <w:t xml:space="preserve"> </w:t>
      </w:r>
      <w:r w:rsidR="00207B9D" w:rsidRPr="00D75A98">
        <w:rPr>
          <w:rFonts w:ascii="Times New Roman" w:hAnsi="Times New Roman" w:cs="Times New Roman"/>
        </w:rPr>
        <w:t>differences, while terrestrial comparisons are more stochastic. Finally, if salamanders exert strong selection for associated microbial communities, we expect convergent host-</w:t>
      </w:r>
      <w:proofErr w:type="gramStart"/>
      <w:r w:rsidR="00207B9D" w:rsidRPr="00D75A98">
        <w:rPr>
          <w:rFonts w:ascii="Times New Roman" w:hAnsi="Times New Roman" w:cs="Times New Roman"/>
        </w:rPr>
        <w:t>filtering</w:t>
      </w:r>
      <w:proofErr w:type="gramEnd"/>
    </w:p>
    <w:p w14:paraId="1E8DC1FD" w14:textId="1B4FE16B" w:rsidR="00777822" w:rsidRPr="00D75A98" w:rsidRDefault="00C70566" w:rsidP="00E0118B">
      <w:pPr>
        <w:spacing w:line="360" w:lineRule="auto"/>
        <w:rPr>
          <w:rFonts w:ascii="Times New Roman" w:hAnsi="Times New Roman" w:cs="Times New Roman"/>
        </w:rPr>
      </w:pPr>
      <w:r w:rsidRPr="00D75A98">
        <w:rPr>
          <w:rFonts w:ascii="Times New Roman" w:hAnsi="Times New Roman" w:cs="Times New Roman"/>
        </w:rPr>
        <w:lastRenderedPageBreak/>
        <w:t>mechanisms to produce phylogenetically and/or taxonomically similar communities. For pairwise comparisons among aquatically captured salamanders, 13.5% (15/111) were phylogenetically different while only 5 (4.5%) were phylogenetically similar (</w:t>
      </w:r>
      <w:r w:rsidRPr="00D75A98">
        <w:rPr>
          <w:rFonts w:ascii="Times New Roman" w:hAnsi="Times New Roman" w:cs="Times New Roman"/>
          <w:b/>
          <w:bCs/>
        </w:rPr>
        <w:t>Fig. 8, facet 3, left</w:t>
      </w:r>
      <w:r w:rsidRPr="00D75A98">
        <w:rPr>
          <w:rFonts w:ascii="Times New Roman" w:hAnsi="Times New Roman" w:cs="Times New Roman"/>
        </w:rPr>
        <w:t>). Twelve comparisons (10.8%) were taxonomically different compared to just 4 (3.6%) being taxonomically similar. The remaining comparisons (75, 67.6%) were undetermined. In 136 terrestrial salamander comparisons, 5 (3.7%) were differentiated phylogenetically, with all being</w:t>
      </w:r>
      <w:r w:rsidR="004D2321">
        <w:t xml:space="preserve"> </w:t>
      </w:r>
      <w:r w:rsidR="00C425A3" w:rsidRPr="00D75A98">
        <w:rPr>
          <w:rFonts w:ascii="Times New Roman" w:hAnsi="Times New Roman" w:cs="Times New Roman"/>
        </w:rPr>
        <w:t>phylogenetically different (</w:t>
      </w:r>
      <w:r w:rsidR="00C425A3" w:rsidRPr="00D75A98">
        <w:rPr>
          <w:rFonts w:ascii="Times New Roman" w:hAnsi="Times New Roman" w:cs="Times New Roman"/>
          <w:b/>
          <w:bCs/>
        </w:rPr>
        <w:t xml:space="preserve">Fig. </w:t>
      </w:r>
      <w:r w:rsidR="007C1E2B" w:rsidRPr="00D75A98">
        <w:rPr>
          <w:rFonts w:ascii="Times New Roman" w:hAnsi="Times New Roman" w:cs="Times New Roman"/>
          <w:b/>
          <w:bCs/>
        </w:rPr>
        <w:t>8</w:t>
      </w:r>
      <w:r w:rsidR="00C425A3" w:rsidRPr="00D75A98">
        <w:rPr>
          <w:rFonts w:ascii="Times New Roman" w:hAnsi="Times New Roman" w:cs="Times New Roman"/>
          <w:b/>
          <w:bCs/>
        </w:rPr>
        <w:t xml:space="preserve">, facet 3, </w:t>
      </w:r>
      <w:r w:rsidR="007C1E2B" w:rsidRPr="00D75A98">
        <w:rPr>
          <w:rFonts w:ascii="Times New Roman" w:hAnsi="Times New Roman" w:cs="Times New Roman"/>
          <w:b/>
          <w:bCs/>
        </w:rPr>
        <w:t>right</w:t>
      </w:r>
      <w:r w:rsidR="00C425A3" w:rsidRPr="00D75A98">
        <w:rPr>
          <w:rFonts w:ascii="Times New Roman" w:hAnsi="Times New Roman" w:cs="Times New Roman"/>
        </w:rPr>
        <w:t>). Taxonomic (dis)similarities revealed 28/136 (20.6%) were taxonomically more different than expected under a null distribution, while none were taxonomically similar. The remaining 103 (75.7%) of comparisons between terrestrial salamanders were undetermined, meaning they are as different taxonomically as probabilistically assembled communities. Together, this analysis finds little evidence for strong host-filtering mechanisms capable of producing community-level similarities in salamander-associated assemblages. Instead, random processes tend to be more common in salamander-salamander comparisons.</w:t>
      </w:r>
    </w:p>
    <w:p w14:paraId="51426055" w14:textId="4B76EEDD" w:rsidR="00C425A3" w:rsidRPr="00491D83" w:rsidRDefault="007042B7" w:rsidP="00C425A3">
      <w:pPr>
        <w:pStyle w:val="Heading3"/>
        <w:spacing w:line="360" w:lineRule="auto"/>
        <w:rPr>
          <w:rFonts w:ascii="Times New Roman" w:hAnsi="Times New Roman" w:cs="Times New Roman"/>
          <w:b w:val="0"/>
          <w:bCs w:val="0"/>
          <w:i w:val="0"/>
          <w:iCs/>
        </w:rPr>
      </w:pPr>
      <w:bookmarkStart w:id="81" w:name="_Toc165028073"/>
      <w:r w:rsidRPr="00491D83">
        <w:rPr>
          <w:rFonts w:ascii="Times New Roman" w:hAnsi="Times New Roman" w:cs="Times New Roman"/>
          <w:b w:val="0"/>
          <w:bCs w:val="0"/>
          <w:iCs/>
        </w:rPr>
        <w:t xml:space="preserve">Shared relative abundance is strongly </w:t>
      </w:r>
      <w:proofErr w:type="gramStart"/>
      <w:r w:rsidRPr="00491D83">
        <w:rPr>
          <w:rFonts w:ascii="Times New Roman" w:hAnsi="Times New Roman" w:cs="Times New Roman"/>
          <w:b w:val="0"/>
          <w:bCs w:val="0"/>
          <w:iCs/>
        </w:rPr>
        <w:t>correlated</w:t>
      </w:r>
      <w:bookmarkEnd w:id="81"/>
      <w:proofErr w:type="gramEnd"/>
    </w:p>
    <w:p w14:paraId="60E4AD7E" w14:textId="77777777" w:rsidR="000B341F" w:rsidRDefault="00C425A3" w:rsidP="00E0118B">
      <w:pPr>
        <w:spacing w:line="360" w:lineRule="auto"/>
        <w:ind w:firstLine="720"/>
        <w:rPr>
          <w:rFonts w:ascii="Times New Roman" w:hAnsi="Times New Roman" w:cs="Times New Roman"/>
        </w:rPr>
      </w:pPr>
      <w:r w:rsidRPr="00D75A98">
        <w:rPr>
          <w:rFonts w:ascii="Times New Roman" w:hAnsi="Times New Roman" w:cs="Times New Roman"/>
        </w:rPr>
        <w:t xml:space="preserve">High environmental transmission is expected to produce strong correlations between the relative abundance in reservoirs and the relative abundance on hosts. Subtle differences between hosts and cover objects could arise via strain-level filtering, in which </w:t>
      </w:r>
      <w:proofErr w:type="gramStart"/>
      <w:r w:rsidRPr="00D75A98">
        <w:rPr>
          <w:rFonts w:ascii="Times New Roman" w:hAnsi="Times New Roman" w:cs="Times New Roman"/>
        </w:rPr>
        <w:t>particular genotypes</w:t>
      </w:r>
      <w:proofErr w:type="gramEnd"/>
      <w:r w:rsidRPr="00D75A98">
        <w:rPr>
          <w:rFonts w:ascii="Times New Roman" w:hAnsi="Times New Roman" w:cs="Times New Roman"/>
        </w:rPr>
        <w:t xml:space="preserve"> have greater success colonizing hosts. Prevalence of this would be evident by assessing the strength of association of hosts to their cover objects. The strength of relationships between relative abundance on salamanders and relative abundance of cover objects was assessed through</w:t>
      </w:r>
      <w:r w:rsidR="00397727">
        <w:rPr>
          <w:rFonts w:ascii="Times New Roman" w:hAnsi="Times New Roman" w:cs="Times New Roman"/>
        </w:rPr>
        <w:t xml:space="preserve"> </w:t>
      </w:r>
      <w:r w:rsidRPr="00D75A98">
        <w:rPr>
          <w:rFonts w:ascii="Times New Roman" w:hAnsi="Times New Roman" w:cs="Times New Roman"/>
        </w:rPr>
        <w:t xml:space="preserve">Kendall’s tau at four levels. Using ASVs, we had 3,332 (14%) shared terrestrial sequence variants and 2,027 (11%) shared aquatic sequences out of 24,612 total terrestrial sequence variants and 18,409 </w:t>
      </w:r>
      <w:proofErr w:type="gramStart"/>
      <w:r w:rsidRPr="00D75A98">
        <w:rPr>
          <w:rFonts w:ascii="Times New Roman" w:hAnsi="Times New Roman" w:cs="Times New Roman"/>
        </w:rPr>
        <w:t>aquatic</w:t>
      </w:r>
      <w:proofErr w:type="gramEnd"/>
      <w:r w:rsidRPr="00D75A98">
        <w:rPr>
          <w:rFonts w:ascii="Times New Roman" w:hAnsi="Times New Roman" w:cs="Times New Roman"/>
        </w:rPr>
        <w:t>. The strength of relationship between shared relative abundance was 0.19 (aquatic) and 0.26 (terrestrial) (</w:t>
      </w:r>
      <w:r w:rsidRPr="00D75A98">
        <w:rPr>
          <w:rFonts w:ascii="Times New Roman" w:hAnsi="Times New Roman" w:cs="Times New Roman"/>
          <w:b/>
          <w:bCs/>
        </w:rPr>
        <w:t xml:space="preserve">Fig. </w:t>
      </w:r>
      <w:r w:rsidR="007C1E2B" w:rsidRPr="00D75A98">
        <w:rPr>
          <w:rFonts w:ascii="Times New Roman" w:hAnsi="Times New Roman" w:cs="Times New Roman"/>
          <w:b/>
          <w:bCs/>
        </w:rPr>
        <w:t>9</w:t>
      </w:r>
      <w:r w:rsidRPr="00D75A98">
        <w:rPr>
          <w:rFonts w:ascii="Times New Roman" w:hAnsi="Times New Roman" w:cs="Times New Roman"/>
        </w:rPr>
        <w:t xml:space="preserve">). Clustering sequences at a 97% similarity yielded 33% and 26% of OTUs shared between terrestrial and aquatic paired samples, with correlation coefficients of 0.41 (terrestrial) and 0.24 (aquatic). Glomming at the genus taxonomic level produced tau coefficients of 0.62 and 0.46, with 72% and 69% of genera shared for terrestrial and aquatic comparisons, respectively. Finally, glomming at the family taxonomic level showed </w:t>
      </w:r>
    </w:p>
    <w:p w14:paraId="27448A9A" w14:textId="487A5090" w:rsidR="000B341F" w:rsidRDefault="000B341F">
      <w:pPr>
        <w:rPr>
          <w:rFonts w:ascii="Times New Roman" w:hAnsi="Times New Roman" w:cs="Times New Roman"/>
        </w:rPr>
      </w:pPr>
      <w:r>
        <w:rPr>
          <w:rFonts w:ascii="Times New Roman" w:hAnsi="Times New Roman" w:cs="Times New Roman"/>
        </w:rPr>
        <w:lastRenderedPageBreak/>
        <w:br w:type="page"/>
      </w:r>
      <w:r>
        <w:rPr>
          <w:noProof/>
        </w:rPr>
        <mc:AlternateContent>
          <mc:Choice Requires="wps">
            <w:drawing>
              <wp:anchor distT="0" distB="0" distL="114300" distR="114300" simplePos="0" relativeHeight="251814912" behindDoc="1" locked="0" layoutInCell="1" allowOverlap="1" wp14:anchorId="17718293" wp14:editId="78AB0835">
                <wp:simplePos x="0" y="0"/>
                <wp:positionH relativeFrom="column">
                  <wp:posOffset>254635</wp:posOffset>
                </wp:positionH>
                <wp:positionV relativeFrom="paragraph">
                  <wp:posOffset>6289675</wp:posOffset>
                </wp:positionV>
                <wp:extent cx="5786755" cy="635"/>
                <wp:effectExtent l="0" t="0" r="4445" b="0"/>
                <wp:wrapTight wrapText="bothSides">
                  <wp:wrapPolygon edited="0">
                    <wp:start x="0" y="0"/>
                    <wp:lineTo x="0" y="21214"/>
                    <wp:lineTo x="21569" y="21214"/>
                    <wp:lineTo x="21569" y="0"/>
                    <wp:lineTo x="0" y="0"/>
                  </wp:wrapPolygon>
                </wp:wrapTight>
                <wp:docPr id="1806982069" name="Text Box 1806982069"/>
                <wp:cNvGraphicFramePr/>
                <a:graphic xmlns:a="http://schemas.openxmlformats.org/drawingml/2006/main">
                  <a:graphicData uri="http://schemas.microsoft.com/office/word/2010/wordprocessingShape">
                    <wps:wsp>
                      <wps:cNvSpPr txBox="1"/>
                      <wps:spPr>
                        <a:xfrm>
                          <a:off x="0" y="0"/>
                          <a:ext cx="5786755" cy="635"/>
                        </a:xfrm>
                        <a:prstGeom prst="rect">
                          <a:avLst/>
                        </a:prstGeom>
                        <a:solidFill>
                          <a:prstClr val="white"/>
                        </a:solidFill>
                        <a:ln>
                          <a:noFill/>
                        </a:ln>
                      </wps:spPr>
                      <wps:txbx>
                        <w:txbxContent>
                          <w:p w14:paraId="605F70E1" w14:textId="7290F503" w:rsidR="000B341F" w:rsidRPr="00491D83" w:rsidRDefault="000B341F" w:rsidP="000B341F">
                            <w:pPr>
                              <w:pStyle w:val="Caption"/>
                              <w:rPr>
                                <w:rFonts w:ascii="Times New Roman" w:hAnsi="Times New Roman" w:cs="Times New Roman"/>
                                <w:b w:val="0"/>
                                <w:bCs w:val="0"/>
                                <w:i/>
                                <w:iCs/>
                                <w:noProof/>
                              </w:rPr>
                            </w:pPr>
                            <w:bookmarkStart w:id="82" w:name="_Toc165024866"/>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9</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Correlation between relative abundance on salamanders (x-axis) and relative abundance on cover objects (y-axis). Gray points denote taxa detected in both salamander and cover object samples. Note the log-transformed x and y axes.</w:t>
                            </w:r>
                            <w:bookmarkEnd w:id="8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718293" id="Text Box 1806982069" o:spid="_x0000_s1034" type="#_x0000_t202" style="position:absolute;margin-left:20.05pt;margin-top:495.25pt;width:455.65pt;height:.05pt;z-index:-251501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" stroked="f">
                <v:textbox style="mso-fit-shape-to-text:t" inset="0,0,0,0">
                  <w:txbxContent>
                    <w:p w14:paraId="605F70E1" w14:textId="7290F503" w:rsidR="000B341F" w:rsidRPr="00491D83" w:rsidRDefault="000B341F" w:rsidP="000B341F">
                      <w:pPr>
                        <w:pStyle w:val="Caption"/>
                        <w:rPr>
                          <w:rFonts w:ascii="Times New Roman" w:hAnsi="Times New Roman" w:cs="Times New Roman"/>
                          <w:b w:val="0"/>
                          <w:bCs w:val="0"/>
                          <w:i/>
                          <w:iCs/>
                          <w:noProof/>
                        </w:rPr>
                      </w:pPr>
                      <w:bookmarkStart w:id="83" w:name="_Toc165024866"/>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9</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Correlation between relative abundance on salamanders (x-axis) and relative abundance on cover objects (y-axis). Gray points denote taxa detected in both salamander and cover object samples. Note the log-transformed x and y axes.</w:t>
                      </w:r>
                      <w:bookmarkEnd w:id="83"/>
                    </w:p>
                  </w:txbxContent>
                </v:textbox>
                <w10:wrap type="tight"/>
              </v:shape>
            </w:pict>
          </mc:Fallback>
        </mc:AlternateContent>
      </w:r>
      <w:r>
        <w:rPr>
          <w:rFonts w:ascii="Times" w:hAnsi="Times"/>
          <w:noProof/>
        </w:rPr>
        <w:drawing>
          <wp:anchor distT="0" distB="0" distL="114300" distR="114300" simplePos="0" relativeHeight="251815936" behindDoc="0" locked="0" layoutInCell="1" allowOverlap="1" wp14:anchorId="5466CC0B" wp14:editId="06AEA654">
            <wp:simplePos x="0" y="0"/>
            <wp:positionH relativeFrom="margin">
              <wp:posOffset>0</wp:posOffset>
            </wp:positionH>
            <wp:positionV relativeFrom="margin">
              <wp:posOffset>187960</wp:posOffset>
            </wp:positionV>
            <wp:extent cx="5943600" cy="5943600"/>
            <wp:effectExtent l="0" t="0" r="0" b="0"/>
            <wp:wrapSquare wrapText="bothSides"/>
            <wp:docPr id="127191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6759" name="Picture 146456759"/>
                    <pic:cNvPicPr/>
                  </pic:nvPicPr>
                  <pic:blipFill>
                    <a:blip r:embed="rId18">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anchor>
        </w:drawing>
      </w:r>
    </w:p>
    <w:p w14:paraId="20E1B0A3" w14:textId="3FE09F1A" w:rsidR="00C425A3" w:rsidRDefault="00C425A3" w:rsidP="000B341F">
      <w:pPr>
        <w:spacing w:line="360" w:lineRule="auto"/>
        <w:rPr>
          <w:rFonts w:ascii="Times New Roman" w:hAnsi="Times New Roman" w:cs="Times New Roman"/>
        </w:rPr>
      </w:pPr>
      <w:r w:rsidRPr="00D75A98">
        <w:rPr>
          <w:rFonts w:ascii="Times New Roman" w:hAnsi="Times New Roman" w:cs="Times New Roman"/>
        </w:rPr>
        <w:lastRenderedPageBreak/>
        <w:t>a strong correlation between relative abundance on salamanders and cover objects (0.69, 0.57), with 79% and 75% of respective terrestrial and aquatic families shared. Taxonomic differences</w:t>
      </w:r>
      <w:r w:rsidR="00E0118B">
        <w:rPr>
          <w:rFonts w:ascii="Times New Roman" w:hAnsi="Times New Roman" w:cs="Times New Roman"/>
        </w:rPr>
        <w:t xml:space="preserve"> </w:t>
      </w:r>
      <w:r w:rsidRPr="00D75A98">
        <w:rPr>
          <w:rFonts w:ascii="Times New Roman" w:hAnsi="Times New Roman" w:cs="Times New Roman"/>
        </w:rPr>
        <w:t xml:space="preserve">are widespread at the sequence level and the relationship between the relative abundance on salamanders and the relative abundance on cover objects increases with more inclusive clustering. Thus, the most abundant bacterial taxa on salamander skin tended to be the most </w:t>
      </w:r>
      <w:r w:rsidR="00174DBE" w:rsidRPr="00D75A98">
        <w:rPr>
          <w:rFonts w:ascii="Times New Roman" w:hAnsi="Times New Roman" w:cs="Times New Roman"/>
        </w:rPr>
        <w:t>abundant taxa in the environmental pool, however, many taxa observed on salamanders were not</w:t>
      </w:r>
      <w:r w:rsidR="004D2321">
        <w:rPr>
          <w:rFonts w:ascii="Times New Roman" w:hAnsi="Times New Roman" w:cs="Times New Roman"/>
        </w:rPr>
        <w:t xml:space="preserve"> </w:t>
      </w:r>
      <w:r w:rsidRPr="00D75A98">
        <w:rPr>
          <w:rFonts w:ascii="Times New Roman" w:hAnsi="Times New Roman" w:cs="Times New Roman"/>
        </w:rPr>
        <w:t>detected in environmental samples and the differences are most prevalent at the sequence level.</w:t>
      </w:r>
    </w:p>
    <w:p w14:paraId="5A07A15A" w14:textId="2F664BE2" w:rsidR="00D75A98" w:rsidRPr="00491D83" w:rsidRDefault="00786A7C" w:rsidP="00D75A98">
      <w:pPr>
        <w:pStyle w:val="Heading3"/>
        <w:spacing w:line="360" w:lineRule="auto"/>
        <w:rPr>
          <w:rFonts w:ascii="Times New Roman" w:hAnsi="Times New Roman" w:cs="Times New Roman"/>
          <w:b w:val="0"/>
          <w:bCs w:val="0"/>
          <w:i w:val="0"/>
          <w:iCs/>
        </w:rPr>
      </w:pPr>
      <w:bookmarkStart w:id="84" w:name="_Toc165028074"/>
      <w:r w:rsidRPr="00491D83">
        <w:rPr>
          <w:rFonts w:ascii="Times New Roman" w:hAnsi="Times New Roman" w:cs="Times New Roman"/>
          <w:b w:val="0"/>
          <w:bCs w:val="0"/>
          <w:iCs/>
        </w:rPr>
        <w:t xml:space="preserve">Affinity for hosts restricted to a small subset of </w:t>
      </w:r>
      <w:proofErr w:type="gramStart"/>
      <w:r w:rsidRPr="00491D83">
        <w:rPr>
          <w:rFonts w:ascii="Times New Roman" w:hAnsi="Times New Roman" w:cs="Times New Roman"/>
          <w:b w:val="0"/>
          <w:bCs w:val="0"/>
          <w:iCs/>
        </w:rPr>
        <w:t>bacteria</w:t>
      </w:r>
      <w:bookmarkEnd w:id="84"/>
      <w:proofErr w:type="gramEnd"/>
    </w:p>
    <w:p w14:paraId="4B7DB87C" w14:textId="38979181" w:rsidR="00E0118B" w:rsidRDefault="00D75A98" w:rsidP="00CF1010">
      <w:pPr>
        <w:spacing w:line="360" w:lineRule="auto"/>
        <w:rPr>
          <w:rFonts w:ascii="Times New Roman" w:hAnsi="Times New Roman" w:cs="Times New Roman"/>
        </w:rPr>
      </w:pPr>
      <w:r>
        <w:rPr>
          <w:rFonts w:ascii="Times" w:hAnsi="Times"/>
          <w:i/>
          <w:iCs/>
        </w:rPr>
        <w:tab/>
      </w:r>
      <w:r w:rsidRPr="00B97DAC">
        <w:rPr>
          <w:rFonts w:ascii="Times New Roman" w:hAnsi="Times New Roman" w:cs="Times New Roman"/>
        </w:rPr>
        <w:t xml:space="preserve">We used an indicator species analysis to identify sequence variants with positive correlation coefficients with salamanders compared to their cover objects for both aquatic and terrestrial samples. While beta diversity analyses found salamander communities were largely stochastically assembled, sequence variants showing positive associations with salamander hosts could be salamander specialists. To identify sequence variants associated with salamanders found both within a habitat and across all habitats, we first identified indicator taxa associated with salamanders from a particular habitat and then associated with all salamanders. Forty-five indicator species were identified for terrestrially captured </w:t>
      </w:r>
      <w:r w:rsidR="00B97DAC">
        <w:rPr>
          <w:rFonts w:ascii="Times" w:hAnsi="Times"/>
        </w:rPr>
        <w:t xml:space="preserve">salamanders, all having an average </w:t>
      </w:r>
      <w:proofErr w:type="spellStart"/>
      <w:r w:rsidR="00B97DAC" w:rsidRPr="00E9314E">
        <w:rPr>
          <w:rFonts w:ascii="Times" w:hAnsi="Times"/>
          <w:i/>
          <w:iCs/>
        </w:rPr>
        <w:t>r</w:t>
      </w:r>
      <w:r w:rsidR="00B97DAC" w:rsidRPr="00E9314E">
        <w:rPr>
          <w:rFonts w:ascii="Times" w:hAnsi="Times"/>
          <w:i/>
          <w:iCs/>
          <w:vertAlign w:val="subscript"/>
        </w:rPr>
        <w:t>pb</w:t>
      </w:r>
      <w:proofErr w:type="spellEnd"/>
      <w:r w:rsidR="00B97DAC">
        <w:rPr>
          <w:rFonts w:ascii="Times" w:hAnsi="Times"/>
        </w:rPr>
        <w:t xml:space="preserve"> greater than 0.25, with values ranging from 0.25 to 0.37 </w:t>
      </w:r>
      <w:r w:rsidR="00B97DAC" w:rsidRPr="00B97DAC">
        <w:rPr>
          <w:rFonts w:ascii="Times New Roman" w:hAnsi="Times New Roman" w:cs="Times New Roman"/>
        </w:rPr>
        <w:t>(</w:t>
      </w:r>
      <w:r w:rsidR="00B97DAC" w:rsidRPr="00B97DAC">
        <w:rPr>
          <w:rFonts w:ascii="Times New Roman" w:hAnsi="Times New Roman" w:cs="Times New Roman"/>
          <w:b/>
          <w:bCs/>
        </w:rPr>
        <w:t>Fig. 10</w:t>
      </w:r>
      <w:r w:rsidR="00B97DAC" w:rsidRPr="00B97DAC">
        <w:rPr>
          <w:rFonts w:ascii="Times New Roman" w:hAnsi="Times New Roman" w:cs="Times New Roman"/>
        </w:rPr>
        <w:t>).</w:t>
      </w:r>
      <w:r w:rsidR="00B97DAC">
        <w:rPr>
          <w:rFonts w:ascii="Times New Roman" w:hAnsi="Times New Roman" w:cs="Times New Roman"/>
        </w:rPr>
        <w:t xml:space="preserve"> Average cumulative relative</w:t>
      </w:r>
      <w:r w:rsidR="00CF1010">
        <w:rPr>
          <w:rFonts w:ascii="Times New Roman" w:hAnsi="Times New Roman" w:cs="Times New Roman"/>
        </w:rPr>
        <w:t xml:space="preserve"> </w:t>
      </w:r>
      <w:r w:rsidR="00CF1010" w:rsidRPr="005E32F5">
        <w:rPr>
          <w:rFonts w:ascii="Times New Roman" w:hAnsi="Times New Roman" w:cs="Times New Roman"/>
        </w:rPr>
        <w:t xml:space="preserve">abundance of all indicators in terrestrial salamander samples (45 sequence variants) was 0.02, compared to 0.004 average cumulative relative abundance in cover objects. Of the 45 sequence variants, five belonged to the family </w:t>
      </w:r>
      <w:proofErr w:type="spellStart"/>
      <w:r w:rsidR="00CF1010" w:rsidRPr="005E32F5">
        <w:rPr>
          <w:rFonts w:ascii="Times New Roman" w:hAnsi="Times New Roman" w:cs="Times New Roman"/>
        </w:rPr>
        <w:t>Xanthobacteraceae</w:t>
      </w:r>
      <w:proofErr w:type="spellEnd"/>
      <w:r w:rsidR="00CF1010" w:rsidRPr="005E32F5">
        <w:rPr>
          <w:rFonts w:ascii="Times New Roman" w:hAnsi="Times New Roman" w:cs="Times New Roman"/>
        </w:rPr>
        <w:t xml:space="preserve">, while three each belonged to </w:t>
      </w:r>
      <w:proofErr w:type="spellStart"/>
      <w:r w:rsidR="00CF1010" w:rsidRPr="005E32F5">
        <w:rPr>
          <w:rFonts w:ascii="Times New Roman" w:hAnsi="Times New Roman" w:cs="Times New Roman"/>
        </w:rPr>
        <w:t>Oxalobacteraceae</w:t>
      </w:r>
      <w:proofErr w:type="spellEnd"/>
      <w:r w:rsidR="00CF1010" w:rsidRPr="005E32F5">
        <w:rPr>
          <w:rFonts w:ascii="Times New Roman" w:hAnsi="Times New Roman" w:cs="Times New Roman"/>
        </w:rPr>
        <w:t xml:space="preserve"> and </w:t>
      </w:r>
      <w:proofErr w:type="spellStart"/>
      <w:r w:rsidR="00CF1010" w:rsidRPr="005E32F5">
        <w:rPr>
          <w:rFonts w:ascii="Times New Roman" w:hAnsi="Times New Roman" w:cs="Times New Roman"/>
        </w:rPr>
        <w:t>Pseudonocardiaceae</w:t>
      </w:r>
      <w:proofErr w:type="spellEnd"/>
      <w:r w:rsidR="00CF1010" w:rsidRPr="005E32F5">
        <w:rPr>
          <w:rFonts w:ascii="Times New Roman" w:hAnsi="Times New Roman" w:cs="Times New Roman"/>
        </w:rPr>
        <w:t xml:space="preserve"> (</w:t>
      </w:r>
      <w:r w:rsidR="00CF1010" w:rsidRPr="005E32F5">
        <w:rPr>
          <w:rFonts w:ascii="Times New Roman" w:hAnsi="Times New Roman" w:cs="Times New Roman"/>
          <w:b/>
          <w:bCs/>
        </w:rPr>
        <w:t xml:space="preserve">Table </w:t>
      </w:r>
      <w:r w:rsidR="00174DBE">
        <w:rPr>
          <w:rFonts w:ascii="Times New Roman" w:hAnsi="Times New Roman" w:cs="Times New Roman"/>
          <w:b/>
          <w:bCs/>
        </w:rPr>
        <w:t>A3</w:t>
      </w:r>
      <w:r w:rsidR="00CF1010" w:rsidRPr="005E32F5">
        <w:rPr>
          <w:rFonts w:ascii="Times New Roman" w:hAnsi="Times New Roman" w:cs="Times New Roman"/>
        </w:rPr>
        <w:t xml:space="preserve">). Aquatically captured samples had 75 </w:t>
      </w:r>
      <w:r w:rsidR="00E0118B" w:rsidRPr="005E32F5">
        <w:rPr>
          <w:rFonts w:ascii="Times New Roman" w:hAnsi="Times New Roman" w:cs="Times New Roman"/>
        </w:rPr>
        <w:t xml:space="preserve">taxa identified as indicators, with correlations ranging from 0.25 to 0.44 and an average cumulative relative abundance of 0.18 in salamanders and 0.002 in cover objects. </w:t>
      </w:r>
      <w:proofErr w:type="spellStart"/>
      <w:r w:rsidR="00207B9D" w:rsidRPr="005E32F5">
        <w:rPr>
          <w:rFonts w:ascii="Times New Roman" w:hAnsi="Times New Roman" w:cs="Times New Roman"/>
        </w:rPr>
        <w:t>Beijerinckiaceae</w:t>
      </w:r>
      <w:proofErr w:type="spellEnd"/>
      <w:r w:rsidR="00207B9D" w:rsidRPr="005E32F5">
        <w:rPr>
          <w:rFonts w:ascii="Times New Roman" w:hAnsi="Times New Roman" w:cs="Times New Roman"/>
        </w:rPr>
        <w:t xml:space="preserve"> was the most represented family, with 12 sequence variants, followed by </w:t>
      </w:r>
      <w:proofErr w:type="spellStart"/>
      <w:r w:rsidR="00207B9D" w:rsidRPr="005E32F5">
        <w:rPr>
          <w:rFonts w:ascii="Times New Roman" w:hAnsi="Times New Roman" w:cs="Times New Roman"/>
        </w:rPr>
        <w:t>Comamonadaceae</w:t>
      </w:r>
      <w:proofErr w:type="spellEnd"/>
      <w:r w:rsidR="00207B9D" w:rsidRPr="005E32F5">
        <w:rPr>
          <w:rFonts w:ascii="Times New Roman" w:hAnsi="Times New Roman" w:cs="Times New Roman"/>
        </w:rPr>
        <w:t xml:space="preserve"> and </w:t>
      </w:r>
      <w:proofErr w:type="spellStart"/>
      <w:r w:rsidR="00207B9D" w:rsidRPr="005E32F5">
        <w:rPr>
          <w:rFonts w:ascii="Times New Roman" w:hAnsi="Times New Roman" w:cs="Times New Roman"/>
        </w:rPr>
        <w:t>Microbacteriaceae</w:t>
      </w:r>
      <w:proofErr w:type="spellEnd"/>
      <w:r w:rsidR="00207B9D" w:rsidRPr="005E32F5">
        <w:rPr>
          <w:rFonts w:ascii="Times New Roman" w:hAnsi="Times New Roman" w:cs="Times New Roman"/>
        </w:rPr>
        <w:t xml:space="preserve"> with 6 and 4 sequence variants respectively. Of these 120 unique sequence variants, 9 displayed 97% sequence similarities to isolates capable of inhibiting Bd in laboratory assays, with Pseudomonadaceae and </w:t>
      </w:r>
      <w:proofErr w:type="spellStart"/>
      <w:r w:rsidR="00207B9D" w:rsidRPr="005E32F5">
        <w:rPr>
          <w:rFonts w:ascii="Times New Roman" w:hAnsi="Times New Roman" w:cs="Times New Roman"/>
        </w:rPr>
        <w:t>Xanthomonadaceae</w:t>
      </w:r>
      <w:proofErr w:type="spellEnd"/>
      <w:r w:rsidR="00207B9D" w:rsidRPr="005E32F5">
        <w:rPr>
          <w:rFonts w:ascii="Times New Roman" w:hAnsi="Times New Roman" w:cs="Times New Roman"/>
        </w:rPr>
        <w:t xml:space="preserve">, and </w:t>
      </w:r>
      <w:proofErr w:type="spellStart"/>
      <w:r w:rsidR="00207B9D" w:rsidRPr="005E32F5">
        <w:rPr>
          <w:rFonts w:ascii="Times New Roman" w:hAnsi="Times New Roman" w:cs="Times New Roman"/>
        </w:rPr>
        <w:t>Comamonadaceae</w:t>
      </w:r>
      <w:proofErr w:type="spellEnd"/>
      <w:r w:rsidR="00207B9D" w:rsidRPr="005E32F5">
        <w:rPr>
          <w:rFonts w:ascii="Times New Roman" w:hAnsi="Times New Roman" w:cs="Times New Roman"/>
        </w:rPr>
        <w:t xml:space="preserve"> containing two sequences variants each </w:t>
      </w:r>
      <w:r w:rsidR="00207B9D" w:rsidRPr="005E32F5">
        <w:rPr>
          <w:rFonts w:ascii="Times New Roman" w:hAnsi="Times New Roman" w:cs="Times New Roman"/>
        </w:rPr>
        <w:fldChar w:fldCharType="begin"/>
      </w:r>
      <w:r w:rsidR="00207B9D">
        <w:rPr>
          <w:rFonts w:ascii="Times New Roman" w:hAnsi="Times New Roman" w:cs="Times New Roman"/>
        </w:rPr>
        <w:instrText xml:space="preserve"> ADDIN ZOTERO_ITEM CSL_CITATION {"citationID":"GOulCe28","properties":{"formattedCitation":"(Woodhams et al., 2015)","plainCitation":"(Woodhams et al., 2015)","noteIndex":0},"citationItems":[{"id":97,"uris":["http://zotero.org/users/6401767/items/3YUD6CVJ"],"itemData":{"id":97,"type":"article-journal","abstract":"Microbial symbionts of vertebrate skin have an important function in defense of the host against pathogens. In particular, the emerging chytrid fungus Batrachochytrium dendrobatidis, causes widespread disease in amphibians but can be inhibited via secondary metabolites produced by many different skin-associated bacteria. Similarly, the fungal pathogens of terrestrial salamander eggs Mariannaea elegans and Rhizomucor variabilis are also inhibited by a variety of skin-associated bacteria. Indeed, probiotic therapy against fungal diseases is a recent approach in conservation medicine with growing experimental support. We present a comprehensive Antifungal Isolates Database of amphibian skin-associated bacteria that have been cultured, isolated, and tested for antifungal properties. At the start, this database includes nearly 2000 cultured bacterial isolates from 37 amphibian host species across 18 studies on five continents: Africa, Oceania, Europe, and North and South America. As the research community gathers information on additional isolates, the database will be updated periodically. The resulting database can serve as a conservation tool for amphibians and other organisms, and provides empirical data for comparative and bioinformatic studies. The database consists of a FASTA file containing 16S rRNA gene sequences of the bacterial isolates, and a metadata file containing information on the host species, life-stage, geographic region, and antifungal capacity and taxonomic identity of the isolate.","container-title":"Ecology","DOI":"10.1890/14-1837.1","ISSN":"1939-9170","issue":"2","language":"en","note":"_eprint: https://onlinelibrary.wiley.com/doi/pdf/10.1890/14-1837.1","page":"595-595","source":"Wiley Online Library","title":"Antifungal isolates database of amphibian skin-associated bacteria and function against emerging fungal pathogens","volume":"96","author":[{"family":"Woodhams","given":"Douglas C."},{"family":"Alford","given":"Ross A."},{"family":"Antwis","given":"Rachael E."},{"family":"Archer","given":"Holly"},{"family":"Becker","given":"Matthew H."},{"family":"Belden","given":"Lisa K."},{"family":"Bell","given":"Sara C."},{"family":"Bletz","given":"Molly"},{"family":"Daskin","given":"Joshua H."},{"family":"Davis","given":"Leyla R."},{"family":"Flechas","given":"Sandra V."},{"family":"Lauer","given":"Antje"},{"family":"Gonzalez","given":"Antonio"},{"family":"Harris","given":"Reid N."},{"family":"Holden","given":"Whitney M."},{"family":"Hughey","given":"Myra C."},{"family":"Ibáñez","given":"Roberto"},{"family":"Knight","given":"Rob"},{"family":"Kueneman","given":"Jordan"},{"family":"Rabemananjara","given":"Falitiana"},{"family":"Reinert","given":"Laura K."},{"family":"Rollins-Smith","given":"Louise A."},{"family":"Roman-Rodriguez","given":"Franklin"},{"family":"Shaw","given":"Stephanie D."},{"family":"Walke","given":"Jenifer B."},{"family":"McKenzie","given":"Valerie"}],"issued":{"date-parts":[["2015"]]}}}],"schema":"https://github.com/citation-style-language/schema/raw/master/csl-citation.json"} </w:instrText>
      </w:r>
      <w:r w:rsidR="00207B9D" w:rsidRPr="005E32F5">
        <w:rPr>
          <w:rFonts w:ascii="Times New Roman" w:hAnsi="Times New Roman" w:cs="Times New Roman"/>
        </w:rPr>
        <w:fldChar w:fldCharType="separate"/>
      </w:r>
      <w:r w:rsidR="00207B9D">
        <w:rPr>
          <w:rFonts w:ascii="Times New Roman" w:hAnsi="Times New Roman" w:cs="Times New Roman"/>
          <w:noProof/>
        </w:rPr>
        <w:t>(Woodhams et al., 2015)</w:t>
      </w:r>
      <w:r w:rsidR="00207B9D" w:rsidRPr="005E32F5">
        <w:rPr>
          <w:rFonts w:ascii="Times New Roman" w:hAnsi="Times New Roman" w:cs="Times New Roman"/>
        </w:rPr>
        <w:fldChar w:fldCharType="end"/>
      </w:r>
      <w:r w:rsidR="00207B9D" w:rsidRPr="005E32F5">
        <w:rPr>
          <w:rFonts w:ascii="Times New Roman" w:hAnsi="Times New Roman" w:cs="Times New Roman"/>
        </w:rPr>
        <w:t>.</w:t>
      </w:r>
      <w:r w:rsidR="00207B9D" w:rsidRPr="00207B9D">
        <w:rPr>
          <w:rFonts w:ascii="Times New Roman" w:hAnsi="Times New Roman" w:cs="Times New Roman"/>
        </w:rPr>
        <w:t xml:space="preserve"> </w:t>
      </w:r>
      <w:r w:rsidR="00207B9D" w:rsidRPr="005E32F5">
        <w:rPr>
          <w:rFonts w:ascii="Times New Roman" w:hAnsi="Times New Roman" w:cs="Times New Roman"/>
        </w:rPr>
        <w:t xml:space="preserve">The other three belonged to </w:t>
      </w:r>
      <w:proofErr w:type="spellStart"/>
      <w:r w:rsidR="00207B9D" w:rsidRPr="005E32F5">
        <w:rPr>
          <w:rFonts w:ascii="Times New Roman" w:hAnsi="Times New Roman" w:cs="Times New Roman"/>
        </w:rPr>
        <w:t>Moraxellaceae</w:t>
      </w:r>
      <w:proofErr w:type="spellEnd"/>
      <w:r w:rsidR="00207B9D" w:rsidRPr="005E32F5">
        <w:rPr>
          <w:rFonts w:ascii="Times New Roman" w:hAnsi="Times New Roman" w:cs="Times New Roman"/>
        </w:rPr>
        <w:t xml:space="preserve">, </w:t>
      </w:r>
      <w:proofErr w:type="spellStart"/>
      <w:r w:rsidR="00207B9D" w:rsidRPr="005E32F5">
        <w:rPr>
          <w:rFonts w:ascii="Times New Roman" w:hAnsi="Times New Roman" w:cs="Times New Roman"/>
        </w:rPr>
        <w:t>Microbacteriaceae</w:t>
      </w:r>
      <w:proofErr w:type="spellEnd"/>
      <w:r w:rsidR="00207B9D" w:rsidRPr="005E32F5">
        <w:rPr>
          <w:rFonts w:ascii="Times New Roman" w:hAnsi="Times New Roman" w:cs="Times New Roman"/>
        </w:rPr>
        <w:t xml:space="preserve">, and an unidentified sequence in </w:t>
      </w:r>
    </w:p>
    <w:p w14:paraId="14798CC9" w14:textId="1CB71E25" w:rsidR="00E0118B" w:rsidRDefault="00E0118B">
      <w:pPr>
        <w:rPr>
          <w:rFonts w:ascii="Times New Roman" w:hAnsi="Times New Roman" w:cs="Times New Roman"/>
        </w:rPr>
      </w:pPr>
      <w:r>
        <w:rPr>
          <w:rFonts w:ascii="Times New Roman" w:hAnsi="Times New Roman" w:cs="Times New Roman"/>
        </w:rPr>
        <w:br w:type="page"/>
      </w:r>
      <w:r w:rsidR="000B341F">
        <w:rPr>
          <w:noProof/>
        </w:rPr>
        <w:lastRenderedPageBreak/>
        <mc:AlternateContent>
          <mc:Choice Requires="wps">
            <w:drawing>
              <wp:anchor distT="0" distB="0" distL="114300" distR="114300" simplePos="0" relativeHeight="251726848" behindDoc="1" locked="0" layoutInCell="1" allowOverlap="1" wp14:anchorId="54E6CD0A" wp14:editId="0448FE96">
                <wp:simplePos x="0" y="0"/>
                <wp:positionH relativeFrom="column">
                  <wp:posOffset>304165</wp:posOffset>
                </wp:positionH>
                <wp:positionV relativeFrom="paragraph">
                  <wp:posOffset>4506595</wp:posOffset>
                </wp:positionV>
                <wp:extent cx="5561330" cy="635"/>
                <wp:effectExtent l="0" t="0" r="1270" b="0"/>
                <wp:wrapTight wrapText="bothSides">
                  <wp:wrapPolygon edited="0">
                    <wp:start x="0" y="0"/>
                    <wp:lineTo x="0" y="21034"/>
                    <wp:lineTo x="21556" y="21034"/>
                    <wp:lineTo x="21556" y="0"/>
                    <wp:lineTo x="0" y="0"/>
                  </wp:wrapPolygon>
                </wp:wrapTight>
                <wp:docPr id="29" name="Text Box 29"/>
                <wp:cNvGraphicFramePr/>
                <a:graphic xmlns:a="http://schemas.openxmlformats.org/drawingml/2006/main">
                  <a:graphicData uri="http://schemas.microsoft.com/office/word/2010/wordprocessingShape">
                    <wps:wsp>
                      <wps:cNvSpPr txBox="1"/>
                      <wps:spPr>
                        <a:xfrm>
                          <a:off x="0" y="0"/>
                          <a:ext cx="5561330" cy="635"/>
                        </a:xfrm>
                        <a:prstGeom prst="rect">
                          <a:avLst/>
                        </a:prstGeom>
                        <a:solidFill>
                          <a:prstClr val="white"/>
                        </a:solidFill>
                        <a:ln>
                          <a:noFill/>
                        </a:ln>
                      </wps:spPr>
                      <wps:txbx>
                        <w:txbxContent>
                          <w:p w14:paraId="6643760B" w14:textId="282C065B" w:rsidR="00083EBD" w:rsidRPr="00491D83" w:rsidRDefault="00083EBD" w:rsidP="00083EBD">
                            <w:pPr>
                              <w:pStyle w:val="Caption"/>
                              <w:rPr>
                                <w:rFonts w:ascii="Times New Roman" w:hAnsi="Times New Roman" w:cs="Times New Roman"/>
                                <w:b w:val="0"/>
                                <w:bCs w:val="0"/>
                                <w:noProof/>
                              </w:rPr>
                            </w:pPr>
                            <w:bookmarkStart w:id="85" w:name="_Toc164888215"/>
                            <w:bookmarkStart w:id="86" w:name="_Toc164888267"/>
                            <w:bookmarkStart w:id="87" w:name="_Toc164888599"/>
                            <w:bookmarkStart w:id="88" w:name="_Toc164888695"/>
                            <w:bookmarkStart w:id="89" w:name="_Toc164888831"/>
                            <w:bookmarkStart w:id="90" w:name="_Toc165024867"/>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10</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Distribution of point biserial correlation coefficients (</w:t>
                            </w:r>
                            <w:proofErr w:type="spellStart"/>
                            <w:r w:rsidRPr="00491D83">
                              <w:rPr>
                                <w:rFonts w:ascii="Times New Roman" w:hAnsi="Times New Roman" w:cs="Times New Roman"/>
                                <w:b w:val="0"/>
                                <w:bCs w:val="0"/>
                              </w:rPr>
                              <w:t>r</w:t>
                            </w:r>
                            <w:r w:rsidRPr="00491D83">
                              <w:rPr>
                                <w:rFonts w:ascii="Times New Roman" w:hAnsi="Times New Roman" w:cs="Times New Roman"/>
                                <w:b w:val="0"/>
                                <w:bCs w:val="0"/>
                                <w:vertAlign w:val="subscript"/>
                              </w:rPr>
                              <w:t>pb</w:t>
                            </w:r>
                            <w:proofErr w:type="spellEnd"/>
                            <w:r w:rsidRPr="00491D83">
                              <w:rPr>
                                <w:rFonts w:ascii="Times New Roman" w:hAnsi="Times New Roman" w:cs="Times New Roman"/>
                                <w:b w:val="0"/>
                                <w:bCs w:val="0"/>
                              </w:rPr>
                              <w:t xml:space="preserve">) of sequence variants for salamanders and cover objects. Rug lines denote group </w:t>
                            </w:r>
                            <w:proofErr w:type="gramStart"/>
                            <w:r w:rsidRPr="00491D83">
                              <w:rPr>
                                <w:rFonts w:ascii="Times New Roman" w:hAnsi="Times New Roman" w:cs="Times New Roman"/>
                                <w:b w:val="0"/>
                                <w:bCs w:val="0"/>
                              </w:rPr>
                              <w:t>membership</w:t>
                            </w:r>
                            <w:bookmarkEnd w:id="85"/>
                            <w:bookmarkEnd w:id="86"/>
                            <w:bookmarkEnd w:id="87"/>
                            <w:bookmarkEnd w:id="88"/>
                            <w:bookmarkEnd w:id="89"/>
                            <w:bookmarkEnd w:id="90"/>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4E6CD0A" id="Text Box 29" o:spid="_x0000_s1035" type="#_x0000_t202" style="position:absolute;margin-left:23.95pt;margin-top:354.85pt;width:437.9pt;height:.05pt;z-index:-251589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" stroked="f">
                <v:textbox style="mso-fit-shape-to-text:t" inset="0,0,0,0">
                  <w:txbxContent>
                    <w:p w14:paraId="6643760B" w14:textId="282C065B" w:rsidR="00083EBD" w:rsidRPr="00491D83" w:rsidRDefault="00083EBD" w:rsidP="00083EBD">
                      <w:pPr>
                        <w:pStyle w:val="Caption"/>
                        <w:rPr>
                          <w:rFonts w:ascii="Times New Roman" w:hAnsi="Times New Roman" w:cs="Times New Roman"/>
                          <w:b w:val="0"/>
                          <w:bCs w:val="0"/>
                          <w:noProof/>
                        </w:rPr>
                      </w:pPr>
                      <w:bookmarkStart w:id="91" w:name="_Toc164888215"/>
                      <w:bookmarkStart w:id="92" w:name="_Toc164888267"/>
                      <w:bookmarkStart w:id="93" w:name="_Toc164888599"/>
                      <w:bookmarkStart w:id="94" w:name="_Toc164888695"/>
                      <w:bookmarkStart w:id="95" w:name="_Toc164888831"/>
                      <w:bookmarkStart w:id="96" w:name="_Toc165024867"/>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10</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Distribution of point biserial correlation coefficients (</w:t>
                      </w:r>
                      <w:proofErr w:type="spellStart"/>
                      <w:r w:rsidRPr="00491D83">
                        <w:rPr>
                          <w:rFonts w:ascii="Times New Roman" w:hAnsi="Times New Roman" w:cs="Times New Roman"/>
                          <w:b w:val="0"/>
                          <w:bCs w:val="0"/>
                        </w:rPr>
                        <w:t>r</w:t>
                      </w:r>
                      <w:r w:rsidRPr="00491D83">
                        <w:rPr>
                          <w:rFonts w:ascii="Times New Roman" w:hAnsi="Times New Roman" w:cs="Times New Roman"/>
                          <w:b w:val="0"/>
                          <w:bCs w:val="0"/>
                          <w:vertAlign w:val="subscript"/>
                        </w:rPr>
                        <w:t>pb</w:t>
                      </w:r>
                      <w:proofErr w:type="spellEnd"/>
                      <w:r w:rsidRPr="00491D83">
                        <w:rPr>
                          <w:rFonts w:ascii="Times New Roman" w:hAnsi="Times New Roman" w:cs="Times New Roman"/>
                          <w:b w:val="0"/>
                          <w:bCs w:val="0"/>
                        </w:rPr>
                        <w:t xml:space="preserve">) of sequence variants for salamanders and cover objects. Rug lines denote group </w:t>
                      </w:r>
                      <w:proofErr w:type="gramStart"/>
                      <w:r w:rsidRPr="00491D83">
                        <w:rPr>
                          <w:rFonts w:ascii="Times New Roman" w:hAnsi="Times New Roman" w:cs="Times New Roman"/>
                          <w:b w:val="0"/>
                          <w:bCs w:val="0"/>
                        </w:rPr>
                        <w:t>membership</w:t>
                      </w:r>
                      <w:bookmarkEnd w:id="91"/>
                      <w:bookmarkEnd w:id="92"/>
                      <w:bookmarkEnd w:id="93"/>
                      <w:bookmarkEnd w:id="94"/>
                      <w:bookmarkEnd w:id="95"/>
                      <w:bookmarkEnd w:id="96"/>
                      <w:proofErr w:type="gramEnd"/>
                    </w:p>
                  </w:txbxContent>
                </v:textbox>
                <w10:wrap type="tight"/>
              </v:shape>
            </w:pict>
          </mc:Fallback>
        </mc:AlternateContent>
      </w:r>
      <w:r w:rsidR="000B341F">
        <w:rPr>
          <w:rFonts w:ascii="Times" w:hAnsi="Times"/>
          <w:noProof/>
        </w:rPr>
        <w:drawing>
          <wp:anchor distT="0" distB="0" distL="114300" distR="114300" simplePos="0" relativeHeight="251725824" behindDoc="1" locked="0" layoutInCell="1" allowOverlap="1" wp14:anchorId="3E7C9192" wp14:editId="13981DB7">
            <wp:simplePos x="0" y="0"/>
            <wp:positionH relativeFrom="margin">
              <wp:posOffset>28649</wp:posOffset>
            </wp:positionH>
            <wp:positionV relativeFrom="margin">
              <wp:posOffset>-13634</wp:posOffset>
            </wp:positionV>
            <wp:extent cx="5815965" cy="436181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extLst>
                        <a:ext uri="{28A0092B-C50C-407E-A947-70E740481C1C}">
                          <a14:useLocalDpi xmlns:a14="http://schemas.microsoft.com/office/drawing/2010/main" val="0"/>
                        </a:ext>
                      </a:extLst>
                    </a:blip>
                    <a:stretch>
                      <a:fillRect/>
                    </a:stretch>
                  </pic:blipFill>
                  <pic:spPr>
                    <a:xfrm>
                      <a:off x="0" y="0"/>
                      <a:ext cx="5815965" cy="436181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type="page"/>
      </w:r>
    </w:p>
    <w:p w14:paraId="29B5C85F" w14:textId="77777777" w:rsidR="00207B9D" w:rsidRDefault="00207B9D" w:rsidP="00207B9D">
      <w:pPr>
        <w:spacing w:line="360" w:lineRule="auto"/>
        <w:rPr>
          <w:rFonts w:ascii="Times New Roman" w:hAnsi="Times New Roman" w:cs="Times New Roman"/>
        </w:rPr>
      </w:pPr>
      <w:proofErr w:type="spellStart"/>
      <w:r w:rsidRPr="005E32F5">
        <w:rPr>
          <w:rFonts w:ascii="Times New Roman" w:hAnsi="Times New Roman" w:cs="Times New Roman"/>
        </w:rPr>
        <w:lastRenderedPageBreak/>
        <w:t>Enterobacterales</w:t>
      </w:r>
      <w:proofErr w:type="spellEnd"/>
      <w:r w:rsidRPr="005E32F5">
        <w:rPr>
          <w:rFonts w:ascii="Times New Roman" w:hAnsi="Times New Roman" w:cs="Times New Roman"/>
        </w:rPr>
        <w:t>. Eight of these came from aquatically captured salamanders, while only one</w:t>
      </w:r>
    </w:p>
    <w:p w14:paraId="2AC5961B" w14:textId="2C08EC7C" w:rsidR="004D2321" w:rsidRDefault="00CF1010" w:rsidP="00CF1010">
      <w:pPr>
        <w:spacing w:line="360" w:lineRule="auto"/>
        <w:rPr>
          <w:rFonts w:ascii="Times New Roman" w:hAnsi="Times New Roman" w:cs="Times New Roman"/>
        </w:rPr>
      </w:pPr>
      <w:r w:rsidRPr="005E32F5">
        <w:rPr>
          <w:rFonts w:ascii="Times New Roman" w:hAnsi="Times New Roman" w:cs="Times New Roman"/>
        </w:rPr>
        <w:t>from terrestrially captured salamanders</w:t>
      </w:r>
      <w:r w:rsidR="00174DBE">
        <w:rPr>
          <w:rFonts w:ascii="Times New Roman" w:hAnsi="Times New Roman" w:cs="Times New Roman"/>
        </w:rPr>
        <w:t xml:space="preserve">. </w:t>
      </w:r>
      <w:r w:rsidRPr="005E32F5">
        <w:rPr>
          <w:rFonts w:ascii="Times New Roman" w:hAnsi="Times New Roman" w:cs="Times New Roman"/>
        </w:rPr>
        <w:t xml:space="preserve">Thirty-two sequence variants were identified as </w:t>
      </w:r>
    </w:p>
    <w:p w14:paraId="7528127A" w14:textId="08BC3E17" w:rsidR="00AC575A" w:rsidRPr="004D2321" w:rsidRDefault="00CF1010" w:rsidP="005F2D6C">
      <w:pPr>
        <w:spacing w:line="360" w:lineRule="auto"/>
        <w:rPr>
          <w:rFonts w:ascii="Times New Roman" w:hAnsi="Times New Roman" w:cs="Times New Roman"/>
        </w:rPr>
      </w:pPr>
      <w:r w:rsidRPr="005E32F5">
        <w:rPr>
          <w:rFonts w:ascii="Times New Roman" w:hAnsi="Times New Roman" w:cs="Times New Roman"/>
        </w:rPr>
        <w:t xml:space="preserve">indicators for all salamanders. Of 16 were previously identified with aquatic salamanders and three with terrestrial salamanders, leaving 13 sequence variants associated with all salamanders regardless of habitat. Three of these belonged to </w:t>
      </w:r>
      <w:proofErr w:type="spellStart"/>
      <w:r w:rsidRPr="005E32F5">
        <w:rPr>
          <w:rFonts w:ascii="Times New Roman" w:hAnsi="Times New Roman" w:cs="Times New Roman"/>
        </w:rPr>
        <w:t>Microbacteriaceae</w:t>
      </w:r>
      <w:proofErr w:type="spellEnd"/>
      <w:r w:rsidRPr="005E32F5">
        <w:rPr>
          <w:rFonts w:ascii="Times New Roman" w:hAnsi="Times New Roman" w:cs="Times New Roman"/>
        </w:rPr>
        <w:t xml:space="preserve"> while two belonged to the families</w:t>
      </w:r>
      <w:r w:rsidR="003F44AD">
        <w:rPr>
          <w:rFonts w:ascii="Times New Roman" w:hAnsi="Times New Roman" w:cs="Times New Roman"/>
        </w:rPr>
        <w:t>,</w:t>
      </w:r>
      <w:r w:rsidRPr="005E32F5">
        <w:rPr>
          <w:rFonts w:ascii="Times New Roman" w:hAnsi="Times New Roman" w:cs="Times New Roman"/>
        </w:rPr>
        <w:t xml:space="preserve"> </w:t>
      </w:r>
      <w:proofErr w:type="spellStart"/>
      <w:r w:rsidRPr="005E32F5">
        <w:rPr>
          <w:rFonts w:ascii="Times New Roman" w:hAnsi="Times New Roman" w:cs="Times New Roman"/>
        </w:rPr>
        <w:t>Acidobacteriaceae</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Nocardioidaceae</w:t>
      </w:r>
      <w:proofErr w:type="spellEnd"/>
      <w:r w:rsidR="00174DBE">
        <w:rPr>
          <w:rFonts w:ascii="Times New Roman" w:hAnsi="Times New Roman" w:cs="Times New Roman"/>
        </w:rPr>
        <w:t xml:space="preserve">. </w:t>
      </w:r>
      <w:r w:rsidR="00B97DAC" w:rsidRPr="005E32F5">
        <w:rPr>
          <w:rFonts w:ascii="Times New Roman" w:hAnsi="Times New Roman" w:cs="Times New Roman"/>
        </w:rPr>
        <w:t xml:space="preserve">Mean cumulative relative abundance of these indicators (13 sequence variants) was 0.005 for salamanders and 0.0008 for cover objects. Of the 32 sequences identified as having strong associations to all salamanders, four were matched isolates known to inhibit Bd, belonging to the genera </w:t>
      </w:r>
      <w:proofErr w:type="spellStart"/>
      <w:r w:rsidR="00B97DAC" w:rsidRPr="005E32F5">
        <w:rPr>
          <w:rFonts w:ascii="Times New Roman" w:hAnsi="Times New Roman" w:cs="Times New Roman"/>
          <w:i/>
          <w:iCs/>
        </w:rPr>
        <w:t>Chryseobacterium</w:t>
      </w:r>
      <w:proofErr w:type="spellEnd"/>
      <w:r w:rsidR="00B97DAC" w:rsidRPr="005E32F5">
        <w:rPr>
          <w:rFonts w:ascii="Times New Roman" w:hAnsi="Times New Roman" w:cs="Times New Roman"/>
        </w:rPr>
        <w:t xml:space="preserve">, </w:t>
      </w:r>
      <w:proofErr w:type="spellStart"/>
      <w:r w:rsidR="00B97DAC" w:rsidRPr="005E32F5">
        <w:rPr>
          <w:rFonts w:ascii="Times New Roman" w:hAnsi="Times New Roman" w:cs="Times New Roman"/>
          <w:i/>
          <w:iCs/>
        </w:rPr>
        <w:t>Comamonas</w:t>
      </w:r>
      <w:proofErr w:type="spellEnd"/>
      <w:r w:rsidR="00B97DAC" w:rsidRPr="005E32F5">
        <w:rPr>
          <w:rFonts w:ascii="Times New Roman" w:hAnsi="Times New Roman" w:cs="Times New Roman"/>
        </w:rPr>
        <w:t xml:space="preserve">, </w:t>
      </w:r>
      <w:r w:rsidR="00B97DAC" w:rsidRPr="005E32F5">
        <w:rPr>
          <w:rFonts w:ascii="Times New Roman" w:hAnsi="Times New Roman" w:cs="Times New Roman"/>
          <w:i/>
          <w:iCs/>
        </w:rPr>
        <w:t>Stenotrophomonas</w:t>
      </w:r>
      <w:r w:rsidR="00B97DAC" w:rsidRPr="005E32F5">
        <w:rPr>
          <w:rFonts w:ascii="Times New Roman" w:hAnsi="Times New Roman" w:cs="Times New Roman"/>
        </w:rPr>
        <w:t xml:space="preserve">, and </w:t>
      </w:r>
      <w:r w:rsidR="00B97DAC" w:rsidRPr="005E32F5">
        <w:rPr>
          <w:rFonts w:ascii="Times New Roman" w:hAnsi="Times New Roman" w:cs="Times New Roman"/>
          <w:i/>
          <w:iCs/>
        </w:rPr>
        <w:t>Pseudomonas</w:t>
      </w:r>
      <w:r w:rsidR="00B97DAC" w:rsidRPr="005E32F5">
        <w:rPr>
          <w:rFonts w:ascii="Times New Roman" w:hAnsi="Times New Roman" w:cs="Times New Roman"/>
        </w:rPr>
        <w:t>, with the latter two also included in the preceding paragraph.</w:t>
      </w:r>
    </w:p>
    <w:p w14:paraId="5FAB1A2E" w14:textId="77777777" w:rsidR="00C425A3" w:rsidRPr="00D75A98" w:rsidRDefault="00C425A3" w:rsidP="00C425A3">
      <w:pPr>
        <w:pStyle w:val="Heading2"/>
        <w:spacing w:line="360" w:lineRule="auto"/>
        <w:rPr>
          <w:rFonts w:ascii="Times New Roman" w:hAnsi="Times New Roman" w:cs="Times New Roman"/>
          <w:b w:val="0"/>
          <w:bCs w:val="0"/>
          <w:iCs w:val="0"/>
        </w:rPr>
      </w:pPr>
      <w:bookmarkStart w:id="97" w:name="_Toc165028075"/>
      <w:r w:rsidRPr="00D75A98">
        <w:rPr>
          <w:rFonts w:ascii="Times New Roman" w:hAnsi="Times New Roman" w:cs="Times New Roman"/>
          <w:iCs w:val="0"/>
        </w:rPr>
        <w:t>Discussion</w:t>
      </w:r>
      <w:bookmarkEnd w:id="97"/>
    </w:p>
    <w:p w14:paraId="42184C6C" w14:textId="36F56AC1" w:rsidR="00C425A3" w:rsidRPr="00D75A98" w:rsidRDefault="00C425A3" w:rsidP="00B97DAC">
      <w:pPr>
        <w:spacing w:line="360" w:lineRule="auto"/>
        <w:ind w:firstLine="720"/>
        <w:rPr>
          <w:rFonts w:ascii="Times New Roman" w:hAnsi="Times New Roman" w:cs="Times New Roman"/>
        </w:rPr>
      </w:pPr>
      <w:r w:rsidRPr="00D75A98">
        <w:rPr>
          <w:rFonts w:ascii="Times New Roman" w:hAnsi="Times New Roman" w:cs="Times New Roman"/>
        </w:rPr>
        <w:t xml:space="preserve">Untangling complex influences of host-associated communities is paramount to understanding both the ecological and evolutionary processes underlying a host’s microbiome. The amphibian skin microbiome is particularly important due to its potential to inhibit the growth of fungal pathogens associated with global amphibian declines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{"citationID":"h3ZUlpVv","properties":{"formattedCitation":"(Barnes et al., 2020; Becker et al., 2015; Harris et al., 2009)","plainCitation":"(Barnes et al., 2020; Becker et al., 2015; Harris et al., 2009)","noteIndex":0},"citationItems":[{"id":174,"uris":["http://zotero.org/users/6401767/items/PL78WH5A"],"itemData":{"id":174,"type":"article-journal","abstract":"Variation in the microbiome among individual organisms may play a critical role in the relative susceptibility of those organisms to infection, disease and death. However, predicting microbiome function is difficult because of spatial and temporal variation in microbial diversity, and taxonomic diversity is not predictive of microbiome functional diversity. Addressing this issue may be particularly important when addressing pandemic diseases, such as the global amphibian die-off associated with Bd. Some of the most important factors in probiotic development for disease treatment are whether bacteria with desired function can be found on native amphibians in the local environment. To address this issue, we isolated, sequenced, and assayed the cutaneous bacterial communities of Plethodon cinereus along a gradient of land use change. Our results suggest that cutaneous community composition, but not overall diversity, change with changes in land use, but this does not correspond to significant change in Bd-inhibitory function. We found that Bd-inhibition is a functionally redundant trait, but that level of inhibition varies over phylogenetic, spatial, and temporal scales. This research provides further evidence for examining the whole microbial community, including biotic and abiotic interactions, when considering disease dynamics.","container-title":"Frontiers in Microbiology","DOI":"10.3389/fmicb.2020.00101","ISSN":"1664-302X","journalAbbreviation":"Front. Microbiol.","language":"English","note":"publisher: Frontiers","source":"Frontiers","title":"Predicting Microbiome Function Across Space Is Confounded by Strain-Level Differences and Functional Redundancy Across Taxa","URL":"https://www.frontiersin.org/articles/10.3389/fmicb.2020.00101/full","volume":"11","author":[{"family":"Barnes","given":"Elle M."},{"family":"Carter","given":"Erin L."},{"family":"Lewis","given":"J. D."}],"accessed":{"date-parts":[["2020",12,4]]},"issued":{"date-parts":[["2020"]]}}},{"id":293,"uris":["http://zotero.org/users/6401767/items/BLRUFAU5"],"itemData":{"id":293,"type":"article-journal","abstract":"The introduction of next-generation sequencing has allowed for greater understanding of community composition of symbiotic microbial communities. However, determining the function of individual members of these microbial communities still largely relies on culture-based methods. Here, we present results on the phylogenetic distribution of a defensive functional trait of cultured symbiotic bacteria associated with amphibians. Amphibians are host to a diverse community of cutaneous bacteria and some of these bacteria protect their host from the lethal fungal pathogen Batrachochytrium dendrobatidis (Bd) by secreting antifungal metabolites. We cultured over 450 bacterial isolates from the skins of Panamanian amphibian species and tested their interactions with Bd using an in vitro challenge assay. For a subset of isolates, we also completed coculture experiments and found that culturing isolates with Bd had no effect on inhibitory properties of the bacteria, but it significantly decreased metabolite secretion. In challenge assays, approximately 75% of the bacterial isolates inhibited Bd to some extent and these inhibitory isolates were widely distributed among all bacterial phyla. Although there was no clear phylogenetic signal of inhibition, three genera, Stenotrophomonas, Aeromonas and Pseudomonas, had a high proportion of inhibitory isolates (100%, 77% and 73%, respectively). Overall, our results demonstrate that antifungal properties are phylogenetically widespread in symbiotic microbial communities of Panamanian amphibians and that some functional redundancy for fungal inhibition occurs in these communities. We hope that these findings contribute to the discovery and development of probiotics for amphibians that can mitigate the threat of chytridiomycosis.","container-title":"Molecular Ecology","DOI":"10.1111/mec.13135","ISSN":"1365-294X","issue":"7","language":"en","note":"_eprint: https://onlinelibrary.wiley.com/doi/pdf/10.1111/mec.13135","page":"1628-1641","source":"Wiley Online Library","title":"Phylogenetic distribution of symbiotic bacteria from Panamanian amphibians that inhibit growth of the lethal fungal pathogen Batrachochytrium dendrobatidis","volume":"24","author":[{"family":"Becker","given":"Matthew H."},{"family":"Walke","given":"Jenifer B."},{"family":"Murrill","given":"Lindsey"},{"family":"Woodhams","given":"Douglas C."},{"family":"Reinert","given":"Laura K."},{"family":"Rollins-Smith","given":"Louise A."},{"family":"Burzynski","given":"Elizabeth A."},{"family":"Umile","given":"Thomas P."},{"family":"Minbiole","given":"Kevin P. C."},{"family":"Belden","given":"Lisa K."}],"issued":{"date-parts":[["2015"]]}}},{"id":95,"uris":["http://zotero.org/users/6401767/items/YP6DS34E"],"itemData":{"id":95,"type":"article-journal","abstract":"Emerging infectious diseases threaten human and wildlife populations. Altered ecological interactions between mutualistic microbes and hosts can result in disease, but an understanding of interactions between host, microbes and disease-causing organisms may lead to management strategies to affect disease outcomes. Many amphibian species in relatively pristine habitats are experiencing dramatic population declines and extinctions due to the skin disease chytridiomycosis, which is caused by the chytrid fungus Batrachochytrium dendrobatidis. Using a randomized, replicated experiment, we show that adding an antifungal bacterial species, Janthinobacterium lividum, found on several species of amphibians to the skins of the frog Rana muscosa prevented morbidity and mortality caused by the pathogen. The bacterial species produces the anti-chytrid metabolite violacein, which was found in much higher concentrations on frog skins in the treatments where J. lividum was added. Our results show that cutaneous microbes are a part of amphibians' innate immune system, the microbial community structure on frog skins is a determinant of disease outcome and altering microbial interactions on frog skins can prevent a lethal disease outcome. A bioaugmentation strategy may be an effective management tool to control chytridiomycosis in amphibian survival assurance colonies and in nature.","container-title":"The ISME Journal","DOI":"10.1038/ismej.2009.27","ISSN":"1751-7370","issue":"7","journalAbbreviation":"ISME J","language":"en","license":"2009 International Society for Microbial Ecology","note":"number: 7\npublisher: Nature Publishing Group","page":"818-824","source":"www.nature.com","title":"Skin microbes on frogs prevent morbidity and mortality caused by a lethal skin fungus","volume":"3","author":[{"family":"Harris","given":"Reid N."},{"family":"Brucker","given":"Robert M."},{"family":"Walke","given":"Jenifer B."},{"family":"Becker","given":"Matthew H."},{"family":"Schwantes","given":"Christian R."},{"family":"Flaherty","given":"Devon C."},{"family":"Lam","given":"Brianna A."},{"family":"Woodhams","given":"Douglas C."},{"family":"Briggs","given":"Cheryl J."},{"family":"Vredenburg","given":"Vance T."},{"family":"Minbiole","given":"Kevin P. C."}],"issued":{"date-parts":[["2009",7]]}}}],"schema":"https://github.com/citation-style-language/schema/raw/master/csl-citation.json"}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(Barnes et al., 2020; Becker et al., 2015; Harris et al., 2009)</w:t>
      </w:r>
      <w:r w:rsidRPr="00D75A98">
        <w:rPr>
          <w:rFonts w:ascii="Times New Roman" w:hAnsi="Times New Roman" w:cs="Times New Roman"/>
        </w:rPr>
        <w:fldChar w:fldCharType="end"/>
      </w:r>
      <w:r w:rsidRPr="00D75A98">
        <w:rPr>
          <w:rFonts w:ascii="Times New Roman" w:hAnsi="Times New Roman" w:cs="Times New Roman"/>
        </w:rPr>
        <w:t xml:space="preserve">. As such, understanding the patterns of assembly and sources of differentiation between hosts and environmental reservoirs is important for developing conservation strategies and uncovering the contributions of microbes to host fitness. The amphibian skin microbiome appears both ‘heavily reliant’ yet ‘different’ from their environmental reservoirs, but the mechanisms driving these differences are poorly understood, as is the relationship between intra and interspecific differences observed on hosts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{"citationID":"ICPbNsvV","properties":{"formattedCitation":"(Belden et al., 2015; Bird et al., 2018b; Kueneman et al., 2014; Prado-Irwin et al., 2017)","plainCitation":"(Belden et al., 2015; Bird et al., 2018b; Kueneman et al., 2014; Prado-Irwin et al., 2017)","noteIndex":0},"citationItems":[{"id":206,"uris":["http://zotero.org/users/6401767/items/WBEYN6FU"],"itemData":{"id":206,"type":"article-journal","abstract":"Vertebrates, including amphibians, host diverse symbiotic microbes that contribute to host disease resistance. Globally, and especially in montane tropical systems, many amphibian species are threatened by a chytrid fungus, Batrachochytrium dendrobatidis (Bd), that causes a lethal skin disease. Bd therefore may be a strong selective agent on the diversity and function of the microbial communities inhabiting amphibian skin. In Panamá, amphibian population declines and the spread of Bd have been tracked. In 2012, we completed a field survey in Panamá to examine frog skin microbiota in the context of Bd infection. We focused on three frog species and collected two skin swabs per frog from a total of 136 frogs across four sites that varied from west to east in the time since Bd arrival. One swab was used to assess bacterial community structure using 16S rRNA amplicon sequencing and to determine Bd infection status, and one was used to assess metabolite diversity, as the bacterial production of anti-fungal metabolites is an important disease resistance function. The skin microbiota of the three Panamanian frog species differed in OTU (operational taxonomic unit, ~bacterial species) community composition and metabolite profiles, although the pattern was less strong for the metabolites. Comparisons between frog skin bacterial communities from Panamá and the US suggest broad similarities at the phylum level, but key differences at lower taxonomic levels. In our field survey in Panamá, across all four sites, only 35 individuals (~26%) were Bd infected. There was no clustering of OTUs or metabolite profiles based on Bd infection status and no clear pattern of west-east changes in OTUs or metabolite profiles across the four sites. Overall, our field survey data suggest that different bacterial communities might be producing broadly similar sets of metabolites across frog hosts and sites. Community structure and function may not be as tightly coupled in these skin symbiont microbial systems as it is in many macro-systems.","container-title":"Frontiers in Microbiology","DOI":"10.3389/fmicb.2015.01171","ISSN":"1664-302X","journalAbbreviation":"Front. Microbiol.","language":"English","note":"publisher: Frontiers","source":"Frontiers","title":"Panamanian frog species host unique skin bacterial communities","URL":"https://www.frontiersin.org/articles/10.3389/fmicb.2015.01171/full","volume":"6","author":[{"family":"Belden","given":"Lisa K."},{"family":"Hughey","given":"Myra C."},{"family":"Rebollar","given":"Eria A."},{"family":"Umile","given":"Thomas P."},{"family":"Loftus","given":"Stephen C."},{"family":"Burzynski","given":"Elizabeth A."},{"family":"Minbiole","given":"Kevin P. C."},{"family":"House","given":"Leanna L."},{"family":"Jensen","given":"Roderick V."},{"family":"Becker","given":"Matthew H."},{"family":"Walke","given":"Jenifer B."},{"family":"Medina","given":"Daniel"},{"family":"Ibáñez","given":"Roberto"},{"family":"Harris","given":"Reid N."}],"accessed":{"date-parts":[["2020",8,10]]},"issued":{"date-parts":[["2015"]]}}},{"id":281,"uris":["http://zotero.org/users/6401767/items/8I32S2WT"],"itemData":{"id":281,"type":"article-journal","abstract":"A multitude of microorganisms live on and within plant and animal hosts, yet the ecology and evolution of these microbial communities remains poorly understood in many taxa. This study examined the extent to which environmental factors and host taxonomic identity explain microbiome variation within two salamander genera, Ensatina and Batrachoseps, in the family Plethodontidae. In particular, we assessed whether microbiome differentiation paralleled host genetic distance at three levels of taxonomy: genus and high and low clade levels within Ensatina eschscholtzii. We predicted that more genetically related host populations would have more similar microbiomes than more distantly related host populations. We found that salamander microbiomes possess bacterial species that are most likely acquired from their surrounding soil environment, but the relative representation of those bacterial species is significantly different on the skin of salamanders compared to soil. We found differences in skin microbiome alpha diversity among Ensatina higher and lower clade groups, as well as differences between Ensatina and Batrachoseps. We also found that relative microbiome composition (beta diversity) did vary between Ensatina lower clades, but differences were driven by only a few clades and not correlated to clade genetic distances. We conclude this difference was likely a result of Ensatina lower clades being associated with geographic location and habitat type, as salamander identity at higher taxonomic levels (genus and Ensatina higher clades) was a weak predictor of microbiome composition. These results lead us to conclude that environmental factors are likely playing a more significant role in salamander cutaneous microbiome assemblages than host-specific traits.","container-title":"Frontiers in Microbiology","ISSN":"1664-302X","source":"Frontiers","title":"Skin Microbiomes of California Terrestrial Salamanders Are Influenced by Habitat More Than Host Phylogeny","URL":"https://www.frontiersin.org/article/10.3389/fmicb.2018.00442","volume":"9","author":[{"family":"Bird","given":"Alicia K."},{"family":"Prado-Irwin","given":"Sofia R."},{"family":"Vredenburg","given":"Vance T."},{"family":"Zink","given":"Andrew G."}],"accessed":{"date-parts":[["2022",6,29]]},"issued":{"date-parts":[["2018"]]}}},{"id":455,"uris":["http://zotero.org/users/6401767/items/J5YKKB7A"],"itemData":{"id":455,"type":"article-journal","abstract":"Skin-associated bacteria of amphibians are increasingly recognized for their role in defence against pathogens, yet we have little understanding of their basic ecology. Here, we use high-throughput 16S rRNA gene sequencing to examine the host and environmental influences on the skin microbiota of the cohabiting amphibian species Anaxyrus boreas, Pseudacris regilla, Taricha torosa and Lithobates catesbeianus from the Central Valley in California. We also studied populations of Rana cascadae over a large geographic range in the Klamath Mountain range of Northern California, and across developmental stages within a single site. Dominant bacterial phylotypes on amphibian skin included taxa from Bacteroidetes, Gammaproteobacteria, Alphaproteobacteria, Firmicutes, Sphingobacteria and Actinobacteria. Amphibian species identity was the strongest predictor of microbial community composition. Secondarily, within a given amphibian species, wetland site explained significant variation. Amphibian-associated microbiota differed systematically from microbial assemblages in their environments. Rana cascadae tadpoles have skin bacterial communities distinct from postmetamorphic conspecifics, indicating a strong developmental shift in the skin microbes following metamorphosis. Establishing patterns observed in the skin microbiota of wild amphibians and environmental factors that underlie them is necessary to understand skin symbiont community assembly, and ultimately, the role skin microbiota play in the extended host phenotype including disease resistance.","container-title":"Molecular Ecology","DOI":"10.1111/mec.12510","ISSN":"1365-294X","issue":"6","journalAbbreviation":"Mol. Ecol.","language":"eng","note":"PMID: 24171949","page":"1238-1250","source":"PubMed","title":"The amphibian skin-associated microbiome across species, space and life history stages","volume":"23","author":[{"family":"Kueneman","given":"Jordan G."},{"family":"Parfrey","given":"Laura Wegener"},{"family":"Woodhams","given":"Douglas C."},{"family":"Archer","given":"Holly M."},{"family":"Knight","given":"Rob"},{"family":"McKenzie","given":"Valerie J."}],"issued":{"date-parts":[["2014",3]]}}},{"id":124,"uris":["http://zotero.org/users/6401767/items/RBQSBPWM"],"itemData":{"id":124,"type":"article-journal","abstract":"Resident microbial communities living on amphibian skin can have significant effects on host health, yet the basic ecology of the host-microbiome relationship of many amphibian taxa is poorly understood. We characterized intraspecific variation in the skin microbiome of the salamander Ensatina eschscholtzii xanthoptica, a subspecies composed of four genetically distinct populations distributed throughout the San Francisco Bay Area and the Sierra Nevada mountains in California, USA. We found that salamanders from four geographically and genetically isolated populations harbor similar skin microbial communities, which are dominated by a common core set of bacterial taxa. Additionally, within a population, the skin microbiome does not appear to differ significantly between salamanders of different ages or sexes. In all cases, the salamander skin microbiomes were significantly different from those of the surrounding terrestrial environment. These results suggest that the relationship between E. e. xanthoptica salamanders and their resident skin microbiomes is conserved, possibly indicating a stable mutualism between the host and microbiome.","container-title":"Microbial Ecology","DOI":"10.1007/s00248-017-0986-y","ISSN":"1432-184X","issue":"3","journalAbbreviation":"Microb Ecol","language":"en","page":"745-756","source":"Springer Link","title":"Intraspecific Variation in the Skin-Associated Microbiome of a Terrestrial Salamander","volume":"74","author":[{"family":"Prado-Irwin","given":"Sofia R."},{"family":"Bird","given":"Alicia K."},{"family":"Zink","given":"Andrew G."},{"family":"Vredenburg","given":"Vance T."}],"issued":{"date-parts":[["2017",10,1]]}}}],"schema":"https://github.com/citation-style-language/schema/raw/master/csl-citation.json"}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(Belden et al., 2015; Bird et al., 2018b; Kueneman et al., 2014; Prado-Irwin et al., 2017)</w:t>
      </w:r>
      <w:r w:rsidRPr="00D75A98">
        <w:rPr>
          <w:rFonts w:ascii="Times New Roman" w:hAnsi="Times New Roman" w:cs="Times New Roman"/>
        </w:rPr>
        <w:fldChar w:fldCharType="end"/>
      </w:r>
      <w:r w:rsidRPr="00D75A98">
        <w:rPr>
          <w:rFonts w:ascii="Times New Roman" w:hAnsi="Times New Roman" w:cs="Times New Roman"/>
        </w:rPr>
        <w:t>. In this study, we assessed the patterns of differentiation between salamanders, other salamanders, and their cover objects in the context of small-scale microhabitat differences. We implemented null models classically used in community assembly to understand the degree to which stochastic and deterministic processes might explain differentiation of host microbiomes from each other and surrounding reservoirs. While salamander skin</w:t>
      </w:r>
      <w:r w:rsidR="00777822" w:rsidRPr="00D75A98">
        <w:rPr>
          <w:rFonts w:ascii="Times New Roman" w:hAnsi="Times New Roman" w:cs="Times New Roman"/>
        </w:rPr>
        <w:t xml:space="preserve"> </w:t>
      </w:r>
      <w:r w:rsidRPr="00D75A98">
        <w:rPr>
          <w:rFonts w:ascii="Times New Roman" w:hAnsi="Times New Roman" w:cs="Times New Roman"/>
        </w:rPr>
        <w:t xml:space="preserve">microbiomes are less diverse than their environmental reservoirs, diversity is not the sole reason for differentiation. Furthermore, </w:t>
      </w:r>
      <w:r w:rsidRPr="00D75A98">
        <w:rPr>
          <w:rFonts w:ascii="Times New Roman" w:hAnsi="Times New Roman" w:cs="Times New Roman"/>
        </w:rPr>
        <w:lastRenderedPageBreak/>
        <w:t xml:space="preserve">differences between salamanders suggest idiosyncratic patterns of ecological assembly inconsistent with strong host filtering and more in line with random assembly stemming from random dispersal, weak host filtering, and weak priority effects. </w:t>
      </w:r>
    </w:p>
    <w:p w14:paraId="3938B2C9" w14:textId="36D28CAC"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Lower diversity within host-associated communities compared to environmental reservoirs with similar sampling efforts remains a consistent pattern in microbiome research. The underlying mechanisms driving this pattern for amphibian skin are likely linked to energy availability, surface area, and symbiont colonization. Energy availability is likely to affect the number of individuals that can survive at a site, and therefore the number of species that can maintain viable populations (More Individuals Hypothesis), or the promotion of specialists utilizing ‘rare’ resources (Niche Specialization Hypothesis)</w:t>
      </w:r>
      <w:r w:rsidR="00F63BD3" w:rsidRPr="00D75A98">
        <w:rPr>
          <w:rFonts w:ascii="Times New Roman" w:hAnsi="Times New Roman" w:cs="Times New Roman"/>
        </w:rPr>
        <w:t xml:space="preserve"> </w:t>
      </w:r>
      <w:r w:rsidR="00F63BD3"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{"citationID":"ale79vceg9","properties":{"formattedCitation":"(Di Cecco et al., 2022)","plainCitation":"(Di Cecco et al., 2022)","noteIndex":0},"citationItems":[{"id":1867,"uris":["http://zotero.org/users/6401767/items/B9NI75J6"],"itemData":{"id":1867,"type":"article-journal","abstract":"Aim Positive productivity–richness relationships have been observed across taxa and ecosystems. We assessed support for two hypotheses explaining these relationships, the More Individuals Hypothesis (MIH) and the Niche Specialization Hypothesis (NSH) in two complementary datasets of avian communities in North America, the Breeding Bird Survey (BBS), which has been widely used to study productivity–richness relationships, and the Breeding Bird Census (BBC), which has been used rarely yet offers accurate population density estimates and more homogeneous landscapes, eliminating confounding variables that may make it more difficult to test predictions of the NSH and MIH in the BBS alone. Location Coterminous United States, 1988–2009. Taxon Birds. Methods We first evaluated the strength of productivity–richness relationships in the BBS and BBC, and tested predictions from the MIH and NSH in the two datasets by examining patterns in community abundance, productivity niche breadth and number of foraging guilds along a gradient of normalized difference vegetation index (a measure of vegetation productivity). We also implemented a null model to examine the contribution of sampling effects due to increasing species richness in explaining patterns in number of foraging guilds in both datasets. Results We found that the BBS had a much stronger productivity–richness relationship than the BBC, potentially as a result of increased landscape diversity with increasing productivity at BBS survey sites. Although the MIH and NSH may not be mutually exclusive, we found weaker support for the MIH in the BBC, and stronger support for the NSH in the BBC and BBS. Main Conclusions Researchers should consider the role of confounding variables such as landscape diversity and focus on developing direct measurements of food resources at macroecological scales to determine the relative importance of mechanisms driving productivity–richness relationships.","container-title":"Journal of Biogeography","DOI":"10.1111/jbi.14459","ISSN":"1365-2699","issue":"9","language":"en","note":"_eprint: https://onlinelibrary.wiley.com/doi/pdf/10.1111/jbi.14459","page":"1629-1639","source":"Wiley Online Library","title":"More individuals or specialized niches? Distinguishing support for hypotheses explaining positive species–energy relationships","title-short":"More individuals or specialized niches?","volume":"49","author":[{"family":"Di Cecco","given":"Grace J."},{"family":"Snell Taylor","given":"Sara J."},{"family":"White","given":"Ethan P."},{"family":"Hurlbert","given":"Allen H."}],"issued":{"date-parts":[["2022"]]}}}],"schema":"https://github.com/citation-style-language/schema/raw/master/csl-citation.json"} </w:instrText>
      </w:r>
      <w:r w:rsidR="00F63BD3" w:rsidRPr="00D75A98">
        <w:rPr>
          <w:rFonts w:ascii="Times New Roman" w:hAnsi="Times New Roman" w:cs="Times New Roman"/>
        </w:rPr>
        <w:fldChar w:fldCharType="separate"/>
      </w:r>
      <w:r w:rsidR="004D2321">
        <w:rPr>
          <w:rFonts w:ascii="Times New Roman" w:hAnsi="Times New Roman" w:cs="Times New Roman"/>
        </w:rPr>
        <w:t>(Di Cecco et al., 2022)</w:t>
      </w:r>
      <w:r w:rsidR="00F63BD3" w:rsidRPr="00D75A98">
        <w:rPr>
          <w:rFonts w:ascii="Times New Roman" w:hAnsi="Times New Roman" w:cs="Times New Roman"/>
        </w:rPr>
        <w:fldChar w:fldCharType="end"/>
      </w:r>
      <w:r w:rsidRPr="00D75A98">
        <w:rPr>
          <w:rFonts w:ascii="Times New Roman" w:hAnsi="Times New Roman" w:cs="Times New Roman"/>
        </w:rPr>
        <w:t xml:space="preserve">. Diversity-area and diversity-energy relationships are well established in ecology, and have recently been shown in gut microbiomes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{"citationID":"Ff3hO4Sb","properties":{"formattedCitation":"(Godon et al., 2016)","plainCitation":"(Godon et al., 2016)","noteIndex":0},"citationItems":[{"id":496,"uris":["http://zotero.org/users/6401767/items/YJ3I4G63"],"itemData":{"id":496,"type":"article-journal","abstract":"Background\nOne of the central issues in microbial ecology is to understand the parameters that drive diversity. Among these parameters, size has often been considered to be the main driver in many different ecosystems. Surprisingly, the influence of size on gut microbial diversity has not yet been investigated, and so far in studies reported in the literature only the influences of age, diet, phylogeny and digestive tract structures have been considered. This study explicitly challenges the underexplored relationship connecting gut volume and bacterial diversity.\n\nResults\nThe bacterial diversity of 189 faeces produced by 71 vertebrate species covering a body mass range of 5.6 log. The animals comprised mammals, birds and reptiles. The diversity was evaluated based on the Simpson Diversity Index extracted from 16S rDNA gene fingerprinting patterns. Diversity presented an increase along with animal body mass following a power law with a slope z of 0.338 ± 0.027, whatever the age, phylogeny, diet or digestive tract structure.\n\nConclusions\nThe results presented here suggest that gut volume cannot be neglected as a major driver of gut microbial diversity. The characteristics of the gut microbiota follow general principles of biogeography that arise in many ecological systems.\n\nElectronic supplementary material\nThe online version of this article (doi:10.1186/s12898-016-0071-2) contains supplementary material, which is available to authorized users.","container-title":"BMC Ecology","DOI":"10.1186/s12898-016-0071-2","ISSN":"1472-6785","journalAbbreviation":"BMC Ecol","note":"PMID: 27008566\nPMCID: PMC4804487","source":"PubMed Central","title":"Vertebrate bacterial gut diversity: size also matters","title-short":"Vertebrate bacterial gut diversity","URL":"https://www.ncbi.nlm.nih.gov/pmc/articles/PMC4804487/","volume":"16","author":[{"family":"Godon","given":"Jean-Jacques"},{"family":"Arulazhagan","given":"Pugazhendi"},{"family":"Steyer","given":"Jean-Philippe"},{"family":"Hamelin","given":"Jérôme"}],"accessed":{"date-parts":[["2021",1,9]]},"issued":{"date-parts":[["2016",3,23]]}}}],"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(Godon et al., 2016)</w:t>
      </w:r>
      <w:r w:rsidRPr="00D75A98">
        <w:rPr>
          <w:rFonts w:ascii="Times New Roman" w:hAnsi="Times New Roman" w:cs="Times New Roman"/>
        </w:rPr>
        <w:fldChar w:fldCharType="end"/>
      </w:r>
      <w:r w:rsidRPr="00D75A98">
        <w:rPr>
          <w:rFonts w:ascii="Times New Roman" w:hAnsi="Times New Roman" w:cs="Times New Roman"/>
        </w:rPr>
        <w:t>, but are rarely applied to host-associated vs environment communities.</w:t>
      </w:r>
      <w:r w:rsidR="005E32F5">
        <w:rPr>
          <w:rFonts w:ascii="Times New Roman" w:hAnsi="Times New Roman" w:cs="Times New Roman"/>
        </w:rPr>
        <w:t xml:space="preserve"> </w:t>
      </w:r>
      <w:r w:rsidRPr="00D75A98">
        <w:rPr>
          <w:rFonts w:ascii="Times New Roman" w:hAnsi="Times New Roman" w:cs="Times New Roman"/>
        </w:rPr>
        <w:t xml:space="preserve">External microbiomes (such as those on skin) are perhaps expected to be less diverse than free-living assemblages with open dispersal and equal sampling effort. Distribution of free-living assemblages is influenced by pH, moisture, elevation, latitude, and nutrient availability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{"citationID":"PQpTS81e","properties":{"formattedCitation":"(Fierer &amp; Jackson, 2006; Serna-Chavez et al., 2013)","plainCitation":"(Fierer &amp; Jackson, 2006; Serna-Chavez et al., 2013)","noteIndex":0},"citationItems":[{"id":401,"uris":["http://zotero.org/users/6401767/items/SPDSEA34"],"itemData":{"id":401,"type":"article-journal","abstract":"For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organisms.","container-title":"Proceedings of the National Academy of Sciences","DOI":"10.1073/pnas.0507535103","issue":"3","note":"publisher: Proceedings of the National Academy of Sciences","page":"626-631","source":"pnas.org (Atypon)","title":"The diversity and biogeography of soil bacterial communities","volume":"103","author":[{"family":"Fierer","given":"Noah"},{"family":"Jackson","given":"Robert B."}],"issued":{"date-parts":[["2006",1,17]]}}},{"id":166,"uris":["http://zotero.org/users/6401767/items/GNE8EDDT"],"itemData":{"id":166,"type":"article-journal","abstract":"Aim While soil microorganisms play key roles in Earth’s biogeochemical cycles, methodological constraints and sparse data have hampered our ability to describe and understand the global distribution of soil microbial biomass. Here, we present a comprehensive quantiﬁcation of the environmental drivers of soil microbial biomass.","container-title":"Global Ecology and Biogeography","DOI":"10.1111/geb.12070","ISSN":"1466822X","issue":"10","journalAbbreviation":"Global Ecology and Biogeography","language":"en","page":"1162-1172","source":"DOI.org (Crossref)","title":"Global drivers and patterns of microbial abundance in soil: Global patterns of soil microbial biomass","title-short":"Global drivers and patterns of microbial abundance in soil","volume":"22","author":[{"family":"Serna-Chavez","given":"Hector M."},{"family":"Fierer","given":"Noah"},{"family":"Bodegom","given":"Peter M.","non-dropping-particle":"van"}],"issued":{"date-parts":[["2013",10]]}}}],"schema":"https://github.com/citation-style-language/schema/raw/master/csl-citation.json"}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(Fierer &amp; Jackson, 2006; Serna-Chavez et al., 2013)</w:t>
      </w:r>
      <w:r w:rsidRPr="00D75A98">
        <w:rPr>
          <w:rFonts w:ascii="Times New Roman" w:hAnsi="Times New Roman" w:cs="Times New Roman"/>
        </w:rPr>
        <w:fldChar w:fldCharType="end"/>
      </w:r>
      <w:r w:rsidRPr="00D75A98">
        <w:rPr>
          <w:rFonts w:ascii="Times New Roman" w:hAnsi="Times New Roman" w:cs="Times New Roman"/>
        </w:rPr>
        <w:t xml:space="preserve">. The nutrient-rich, acidic soil of Southern Appalachia boasts healthy microbial diversity, especially under cover objects where microbes aggregate in biofilm on rocks or crevices in logs and facilitate nutrient recycling and decomposition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{"citationID":"ErxKO6q4","properties":{"formattedCitation":"(McTammany et al., 2008; Osburn et al., 2021)","plainCitation":"(McTammany et al., 2008; Osburn et al., 2021)","noteIndex":0},"citationItems":[{"id":400,"uris":["http://zotero.org/users/6401767/items/FXZV9NKD"],"itemData":{"id":400,"type":"article-journal","container-title":"Freshwater Biology, Vol. 53: 842-854","DOI":"10.1111/j.1365-2427.2007.01936.x","ISSN":"1365-2427","language":"en","source":"www.fs.usda.gov","title":"Effects of agriculture on wood breakdown and microbial biofilm respiration in southern Appalachian streams","URL":"https://www.fs.usda.gov/research/treesearch/31810","author":[{"family":"McTammany","given":"M. E."},{"family":"Benfield","given":"E. F."},{"family":"Webster","given":"J. R."}],"accessed":{"date-parts":[["2024",1,15]]},"issued":{"date-parts":[["2008"]]}}},{"id":398,"uris":["http://zotero.org/users/6401767/items/MN9V9XYN"],"itemData":{"id":398,"type":"article-journal","abstract":"Rhododendron maximum, a native ericaceous evergreen shrub, is expanding in forests of the southern Appalachian region following eastern hemlock (Tsuga canadensis) mortality due to hemlock woolly adelgid (Adelges tsugae) infestations. The goal of our study was to examine soil microbial community responses to experimental R. maximum removal treatments. The experiment was implemented as a 2 × 2 factorial design, including two R. maximum canopy removal levels (cut vs. not cut) combined with two forest floor removal levels (burned vs. not burned). These treatments were designed as potential management strategies to facilitate hardwood tree establishment in forests that have experienced T. canadensis declines. We sampled soils after removals and characterized bacterial and fungal communities using amplicon sequencing. Shrub removal did not affect bacterial or fungal α diversity but did affect both bacterial and fungal community composition. Relative abundances of bacterial phyla and fungal classes exhibited no differences among R. maximum removal treatments. However, specific bacterial and fungal taxa that were responsive to R. maximum removal (i.e., differentially abundant sequences) did exhibit clear patterns at high taxonomic levels. Specifically, taxa that responded negatively to R. maximum removal were found primarily in two bacterial phyla (Proteobacteria and Bacteroidetes) and one fungal class (Archaeorhizomycetes) while positive responders were clustered in several other bacterial phyla (e.g., Actinobacteria, Planctomycetes, Cyanobacteria). Fungal functional guilds also responded to R. maximum removal, including negative responses of ericoid mycorrhizae and positive responses of arbuscular mycorrhizae and wood saprotrophs. Effects of R. maximum removal on soil microbial communities were minor overall, but clear effects on some key functional groups were evident (i.e., mycorrhizal fungi), suggesting that microbial responses to R. maximum removal may influence recovery of forests in the southern Appalachian region.","container-title":"Forest Ecology and Management","DOI":"10.1016/j.foreco.2021.119398","ISSN":"0378-1127","journalAbbreviation":"Forest Ecology and Management","page":"119398","source":"ScienceDirect","title":"Effects of Rhododendron removal on soil bacterial and fungal communities in southern Appalachian forests","volume":"496","author":[{"family":"Osburn","given":"Ernest D."},{"family":"Miniat","given":"Chelcy F."},{"family":"Elliott","given":"Katherine J."},{"family":"Barrett","given":"J. E."}],"issued":{"date-parts":[["2021",9,15]]}}}],"schema":"https://github.com/citation-style-language/schema/raw/master/csl-citation.json"}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(McTammany et al., 2008; Osburn et al., 2021)</w:t>
      </w:r>
      <w:r w:rsidRPr="00D75A98">
        <w:rPr>
          <w:rFonts w:ascii="Times New Roman" w:hAnsi="Times New Roman" w:cs="Times New Roman"/>
        </w:rPr>
        <w:fldChar w:fldCharType="end"/>
      </w:r>
      <w:r w:rsidRPr="00D75A98">
        <w:rPr>
          <w:rFonts w:ascii="Times New Roman" w:hAnsi="Times New Roman" w:cs="Times New Roman"/>
        </w:rPr>
        <w:t xml:space="preserve">. Nutrient availability on salamander skin is likely more limited, as microbes have been documented clustering around mucus glands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{"citationID":"n0eofuKo","properties":{"formattedCitation":"(Lauer et al., 2007)","plainCitation":"(Lauer et al., 2007)","noteIndex":0},"citationItems":[{"id":194,"uris":["http://zotero.org/users/6401767/items/5ZQGVCTV"],"itemData":{"id":194,"type":"article-journal","container-title":"Copeia","DOI":"10.1643/0045-8511(2007)2007[630:CCBFTE]2.0.CO;2","ISSN":"0045-8511, 1938-5110","issue":"3","journalAbbreviation":"Copeia","language":"en","page":"630-640","source":"DOI.org (Crossref)","title":"Common Cutaneous Bacteria from the Eastern Red-Backed Salamander Can Inhibit Pathogenic Fungi","volume":"2007","author":[{"family":"Lauer","given":"Antje"},{"family":"Simon","given":"Mary Alice"},{"family":"Banning","given":"Jenifer L."},{"family":"André","given":"Emily"},{"family":"Duncan","given":"Karen"},{"family":"Harris","given":"Reid N."}],"issued":{"date-parts":[["2007",9,10]]}}}],"schema":"https://github.com/citation-style-language/schema/raw/master/csl-citation.json"}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(Lauer et al., 2007)</w:t>
      </w:r>
      <w:r w:rsidRPr="00D75A98">
        <w:rPr>
          <w:rFonts w:ascii="Times New Roman" w:hAnsi="Times New Roman" w:cs="Times New Roman"/>
        </w:rPr>
        <w:fldChar w:fldCharType="end"/>
      </w:r>
      <w:r w:rsidRPr="00D75A98">
        <w:rPr>
          <w:rFonts w:ascii="Times New Roman" w:hAnsi="Times New Roman" w:cs="Times New Roman"/>
        </w:rPr>
        <w:t xml:space="preserve">. This smaller area with more limited resources would inevitably exacerbate competition and thus promote local extinctions through competitive exclusion. Aquatically captured salamanders had the least diversity, while aquatic cover objects had the highest number of effective species. Biofilm aggregation on aquatic cover objects could be resilient to water flow and potentially exposed to a higher diversity of microbes flowing from upstream sources. The low diversity on aquatically captured salamanders could also reflect failed colonization since flowing water would be more likely to wash microbes off the surface of the skin. Alternatively, less diversity recovered could be a product of sampling error, as our previous study found no significant difference between aquatically and terrestrially </w:t>
      </w:r>
      <w:r w:rsidRPr="00D75A98">
        <w:rPr>
          <w:rFonts w:ascii="Times New Roman" w:hAnsi="Times New Roman" w:cs="Times New Roman"/>
        </w:rPr>
        <w:lastRenderedPageBreak/>
        <w:t>captured salamanders from the same site despite significant differences in cover object communities.</w:t>
      </w:r>
    </w:p>
    <w:p w14:paraId="4F2FA3E8" w14:textId="54A1432A"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 xml:space="preserve">Despite having lower richness, terrestrial captured salamander skin samples were not significantly less diverse than terrestrial cover object samples at </w:t>
      </w:r>
      <w:r w:rsidRPr="00D75A98">
        <w:rPr>
          <w:rFonts w:ascii="Times New Roman" w:hAnsi="Times New Roman" w:cs="Times New Roman"/>
          <w:i/>
          <w:iCs/>
        </w:rPr>
        <w:t>q=1</w:t>
      </w:r>
      <w:r w:rsidRPr="00D75A98">
        <w:rPr>
          <w:rFonts w:ascii="Times New Roman" w:hAnsi="Times New Roman" w:cs="Times New Roman"/>
        </w:rPr>
        <w:t xml:space="preserve"> and </w:t>
      </w:r>
      <w:r w:rsidRPr="00D75A98">
        <w:rPr>
          <w:rFonts w:ascii="Times New Roman" w:hAnsi="Times New Roman" w:cs="Times New Roman"/>
          <w:i/>
          <w:iCs/>
        </w:rPr>
        <w:t>q=2</w:t>
      </w:r>
      <w:r w:rsidRPr="00D75A98">
        <w:rPr>
          <w:rFonts w:ascii="Times New Roman" w:hAnsi="Times New Roman" w:cs="Times New Roman"/>
        </w:rPr>
        <w:t xml:space="preserve">, and were, in fact, more phylogenetically diverse at </w:t>
      </w:r>
      <w:r w:rsidRPr="00D75A98">
        <w:rPr>
          <w:rFonts w:ascii="Times New Roman" w:hAnsi="Times New Roman" w:cs="Times New Roman"/>
          <w:i/>
          <w:iCs/>
        </w:rPr>
        <w:t>q=2</w:t>
      </w:r>
      <w:r w:rsidRPr="00D75A98">
        <w:rPr>
          <w:rFonts w:ascii="Times New Roman" w:hAnsi="Times New Roman" w:cs="Times New Roman"/>
        </w:rPr>
        <w:t xml:space="preserve">, indicating that a larger proportion of rare lineages was detected in terrestrial cover objects. Aquatically captured salamander samples were less taxonomically diverse than cover objects and all samples showed similar declines in effective species at increasing orders of diversity, indicating both salamanders and cover objects have an uneven distribution of abundances among microbes. 16S rRNA sequencing does not enable us to assess the percentage of dormant bacteria, however, other studies assessing dormancy have concluded a large proportion, sometimes up to 80% of taxa in soil communities can be dormant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{"citationID":"NMOSDYvv","properties":{"formattedCitation":"(Lennon &amp; Jones, 2011; Sorensen &amp; Shade, 2020)","plainCitation":"(Lennon &amp; Jones, 2011; Sorensen &amp; Shade, 2020)","noteIndex":0},"citationItems":[{"id":68,"uris":["http://zotero.org/users/6401767/items/LBISGBHA"],"itemData":{"id":68,"type":"article-journal","abstract":"Dormancy is a bet-hedging strategy used by a wide range of taxa, including microorganisms. It refers to an organism's ability to enter a reversible state of low metabolic activity when faced with unfavourable environmental conditions.Dormant microorganisms generate a seed bank, which consists of individuals that are capable of being resuscitated following environmental change. Seed banks can prolong the persistence of genotypes and populations, and also have important consequences for community- and ecosystem-level processes.A review of the literature demonstrates that dormancy is common and phylogenetically widespread. However, microorganisms have evolved diverse genetic and cellular mechanisms for entering and exiting dormancy.Dormancy may help explain various ecological and evolutionary phenomena in microbial systems, including: patterns of biogeography; outbreaks, blooms and successional dynamics; the maintenance of rare taxa; the inability of microbiologists to culture most microorganisms; and the inherent stability of ecosystem services.","container-title":"Nature Reviews Microbiology","DOI":"10.1038/nrmicro2504","ISSN":"1740-1534","issue":"2","journalAbbreviation":"Nat Rev Microbiol","language":"en","license":"2011 Springer Nature Limited","note":"number: 2\npublisher: Nature Publishing Group","page":"119-130","source":"www.nature.com","title":"Microbial seed banks: the ecological and evolutionary implications of dormancy","title-short":"Microbial seed banks","volume":"9","author":[{"family":"Lennon","given":"Jay T."},{"family":"Jones","given":"Stuart E."}],"issued":{"date-parts":[["2011",2]]}}},{"id":69,"uris":["http://zotero.org/users/6401767/items/CJ58UFQH"],"itemData":{"id":69,"type":"article-journal","abstract":"In disturbance ecology, stability is composed of resistance to change and resilience towards recovery after the disturbance subsides. Two key microbial mechanisms that can support microbiome stability include dormancy and dispersal. Specifically, microbial populations that are sensitive to disturbance can be re-seeded by local dormant pools of viable and reactivated cells, or by immigrants dispersed from regional metacommunities. However, it is difficult to quantify the contributions of these mechanisms to stability without, first, distinguishing the active from inactive membership, and, second, distinguishing the populations recovered by local resuscitation from those recovered by dispersed immigrants. Here, we investigate the contributions of dormancy dynamics (activation and inactivation), and dispersal to soil microbial community resistance and resilience. We designed a replicated, 45-week time-series experiment to quantify the responses of the active soil microbial community to a thermal press disturbance, including unwarmed control mesocosms, disturbed mesocosms without dispersal, and disturbed mesocosms with dispersal after the release of the stressor. Communities changed in structure within one week of warming. Though the disturbed mesocosms did not fully recover within 29 weeks, resuscitation of thermotolerant taxa was key for community transition during the press, and both resuscitation of opportunistic taxa and immigration contributed to community resilience. Also, mesocosms with dispersal were more resilient than mesocosms without. This work advances the mechanistic understanding of how microbiomes respond to disturbances in their environment. This article is part of the theme issue 'Conceptual challenges in microbial community ecology'.","container-title":"Philosophical Transactions of the Royal Society of London. Series B, Biological Sciences","DOI":"10.1098/rstb.2019.0255","ISSN":"1471-2970","issue":"1798","journalAbbreviation":"Philos Trans R Soc Lond B Biol Sci","language":"eng","note":"PMID: 32200738\nPMCID: PMC7133531","page":"20190255","source":"PubMed","title":"Dormancy dynamics and dispersal contribute to soil microbiome resilience","volume":"375","author":[{"family":"Sorensen","given":"Jackson W."},{"family":"Shade","given":"Ashley"}],"issued":{"date-parts":[["2020",5,11]]}}}],"schema":"https://github.com/citation-style-language/schema/raw/master/csl-citation.json"}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(Lennon &amp; Jones, 2011; Sorensen &amp; Shade, 2020)</w:t>
      </w:r>
      <w:r w:rsidRPr="00D75A98">
        <w:rPr>
          <w:rFonts w:ascii="Times New Roman" w:hAnsi="Times New Roman" w:cs="Times New Roman"/>
        </w:rPr>
        <w:fldChar w:fldCharType="end"/>
      </w:r>
      <w:r w:rsidRPr="00D75A98">
        <w:rPr>
          <w:rFonts w:ascii="Times New Roman" w:hAnsi="Times New Roman" w:cs="Times New Roman"/>
        </w:rPr>
        <w:t xml:space="preserve">. High temporal turnover of the amphibian skin microbiome and local extinction observed in laboratory experiments indicate colonization in wild amphibians is a continuous process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{"citationID":"ca35ngQu","properties":{"formattedCitation":"(Loudon et al., 2016)","plainCitation":"(Loudon et al., 2016)","noteIndex":0},"citationItems":[{"id":102,"uris":["http://zotero.org/users/6401767/items/TBGAK3AB"],"itemData":{"id":102,"type":"article-journal","abstract":"Skin bacterial communities can protect amphibians from a fungal pathogen; however, little is known about how these communities are maintained. We used a neutral model of community ecology to identify bacteria that are maintained on salamanders by selection or by dispersal from a bacterial reservoir (soil) and ecological drift. We found that 75% (9/12) of bacteria that were consistent with positive selection, &lt;1% of bacteria that were consistent with random dispersal and none of the bacteria that were consistent under negative selection had a 97% or greater match to antifungal isolates. Additionally we performed an experiment where salamanders were either provided or denied a bacterial reservoir and estimated immigration and loss (emigration and local extinction) rates of bacteria on salamanders in both treatments. Loss was strongly related to bacterial richness, suggesting competition is important for structuring the community. Bacteria closely related to antifungal isolates were more likely to persist on salamanders with or without a bacterial reservoir, suggesting they had a competitive advantage. Furthermore, over-represented and under-represented operational taxonomic units (OTUs) had similar persistence on salamanders when a bacterial reservoir was present. However, under-represented OTUs were less likely to persist in the absence of a bacterial reservoir, suggesting that the over-represented and under-represented bacteria were selected against or for on salamanders through time. Our ﬁndings from the neutral model, migration and persistence analyses show that bacteria that exhibit a high similarity to antifungal isolates persist on salamanders, which likely protect hosts against pathogens and improve ﬁtness. This research is one of the ﬁrst to apply ecological theory to investigate assembly of host associated-bacterial communities, which can provide insights for probiotic bioaugmentation as a conservation strategy against disease.","container-title":"Frontiers in Microbiology","DOI":"10.3389/fmicb.2016.00333","ISSN":"1664-302X","journalAbbreviation":"Front. Microbiol.","language":"en","source":"DOI.org (Crossref)","title":"Vertebrate Hosts as Islands: Dynamics of Selection, Immigration, Loss, Persistence, and Potential Function of Bacteria on Salamander Skin","title-short":"Vertebrate Hosts as Islands","URL":"http://journal.frontiersin.org/Article/10.3389/fmicb.2016.00333/abstract","volume":"7","author":[{"family":"Loudon","given":"Andrew H."},{"family":"Venkataraman","given":"Arvind"},{"family":"Van Treuren","given":"William"},{"family":"Woodhams","given":"Douglas C."},{"family":"Parfrey","given":"Laura Wegener"},{"family":"McKenzie","given":"Valerie J."},{"family":"Knight","given":"Rob"},{"family":"Schmidt","given":"Thomas M."},{"family":"Harris","given":"Reid N."}],"accessed":{"date-parts":[["2020",8,10]]},"issued":{"date-parts":[["2016",3,16]]}}}],"schema":"https://github.com/citation-style-language/schema/raw/master/csl-citation.json"}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(Loudon et al., 2016)</w:t>
      </w:r>
      <w:r w:rsidRPr="00D75A98">
        <w:rPr>
          <w:rFonts w:ascii="Times New Roman" w:hAnsi="Times New Roman" w:cs="Times New Roman"/>
        </w:rPr>
        <w:fldChar w:fldCharType="end"/>
      </w:r>
      <w:r w:rsidRPr="00D75A98">
        <w:rPr>
          <w:rFonts w:ascii="Times New Roman" w:hAnsi="Times New Roman" w:cs="Times New Roman"/>
        </w:rPr>
        <w:t xml:space="preserve">. Dormant bacteria, as well as taxa with poor dispersing capabilities, would be less likely to colonize the host, but would still be detected in cover object samples, which could explain the high richness in cover objects despite lower effective species at higher orders of diversity. Regardless, given the significant differences in richness between salamanders and cover objects, future research should be conscientious of the impacts of </w:t>
      </w:r>
      <w:r w:rsidRPr="00D75A98">
        <w:rPr>
          <w:rFonts w:ascii="Times New Roman" w:hAnsi="Times New Roman" w:cs="Times New Roman"/>
        </w:rPr>
        <w:sym w:font="Symbol" w:char="F061"/>
      </w:r>
      <w:r w:rsidRPr="00D75A98">
        <w:rPr>
          <w:rFonts w:ascii="Times New Roman" w:hAnsi="Times New Roman" w:cs="Times New Roman"/>
        </w:rPr>
        <w:t xml:space="preserve"> diversity on inferences about </w:t>
      </w:r>
      <w:r w:rsidRPr="00D75A98">
        <w:rPr>
          <w:rFonts w:ascii="Times New Roman" w:hAnsi="Times New Roman" w:cs="Times New Roman"/>
        </w:rPr>
        <w:sym w:font="Symbol" w:char="F062"/>
      </w:r>
      <w:r w:rsidRPr="00D75A98">
        <w:rPr>
          <w:rFonts w:ascii="Times New Roman" w:hAnsi="Times New Roman" w:cs="Times New Roman"/>
        </w:rPr>
        <w:t xml:space="preserve"> diversity, especially when using binary dissimilarity analyses (Jaccard or Sørensen).</w:t>
      </w:r>
    </w:p>
    <w:p w14:paraId="71AFE1C8" w14:textId="00312DE5"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To account for within sample diversity differences in our samples, we utilized a null model (</w:t>
      </w:r>
      <w:proofErr w:type="spellStart"/>
      <w:r w:rsidRPr="00D75A98">
        <w:rPr>
          <w:rFonts w:ascii="Times New Roman" w:hAnsi="Times New Roman" w:cs="Times New Roman"/>
        </w:rPr>
        <w:t>RC</w:t>
      </w:r>
      <w:r w:rsidRPr="00D75A98">
        <w:rPr>
          <w:rFonts w:ascii="Times New Roman" w:hAnsi="Times New Roman" w:cs="Times New Roman"/>
          <w:vertAlign w:val="subscript"/>
        </w:rPr>
        <w:t>Horn</w:t>
      </w:r>
      <w:proofErr w:type="spellEnd"/>
      <w:r w:rsidRPr="00D75A98">
        <w:rPr>
          <w:rFonts w:ascii="Times New Roman" w:hAnsi="Times New Roman" w:cs="Times New Roman"/>
        </w:rPr>
        <w:t xml:space="preserve">) to assess the dissimilarity between samples not attributed to differences in diversity. Our results are consistent with previous inferences that salamanders acquire microbes predominantly from the environment via environmental transmission. While the differences are subtle, salamander skin assemblages are not merely passive samples from their immediate environment. In the extreme, we might expect unrestricted dispersal to result in statistical similarity between each salamander and the cover object it was captured under. This was not the case, as only a small proportion of such comparisons were taxonomically more similar than expected. Most aquatic salamander-cover object pairs were taxonomically </w:t>
      </w:r>
      <w:r w:rsidR="00AC669C" w:rsidRPr="00D75A98">
        <w:rPr>
          <w:rFonts w:ascii="Times New Roman" w:hAnsi="Times New Roman" w:cs="Times New Roman"/>
        </w:rPr>
        <w:t>differentiated,</w:t>
      </w:r>
      <w:r w:rsidRPr="00D75A98">
        <w:rPr>
          <w:rFonts w:ascii="Times New Roman" w:hAnsi="Times New Roman" w:cs="Times New Roman"/>
        </w:rPr>
        <w:t xml:space="preserve"> and terrestrial salamander cover-object pairs were often no more or less different than expected by </w:t>
      </w:r>
      <w:r w:rsidRPr="00D75A98">
        <w:rPr>
          <w:rFonts w:ascii="Times New Roman" w:hAnsi="Times New Roman" w:cs="Times New Roman"/>
        </w:rPr>
        <w:lastRenderedPageBreak/>
        <w:t xml:space="preserve">chance. In addition to the pairwise comparisons, positive correlations of mean relative abundance at increasing taxonomic levels indicate most differences between salamanders and cover objects occur predominately, but not exclusively, at the lowest taxonomic levels. Only a small portion of comparisons (18% and 12%) were differentiated phylogenetically, </w:t>
      </w:r>
      <w:proofErr w:type="gramStart"/>
      <w:r w:rsidRPr="00D75A98">
        <w:rPr>
          <w:rFonts w:ascii="Times New Roman" w:hAnsi="Times New Roman" w:cs="Times New Roman"/>
        </w:rPr>
        <w:t>similar to</w:t>
      </w:r>
      <w:proofErr w:type="gramEnd"/>
      <w:r w:rsidRPr="00D75A98">
        <w:rPr>
          <w:rFonts w:ascii="Times New Roman" w:hAnsi="Times New Roman" w:cs="Times New Roman"/>
        </w:rPr>
        <w:t xml:space="preserve"> pairwise comparisons among cover objects</w:t>
      </w:r>
      <w:r w:rsidR="00A04CE9" w:rsidRPr="00D75A98">
        <w:rPr>
          <w:rFonts w:ascii="Times New Roman" w:hAnsi="Times New Roman" w:cs="Times New Roman"/>
        </w:rPr>
        <w:t xml:space="preserve">. </w:t>
      </w:r>
      <w:r w:rsidRPr="00D75A98">
        <w:rPr>
          <w:rFonts w:ascii="Times New Roman" w:hAnsi="Times New Roman" w:cs="Times New Roman"/>
        </w:rPr>
        <w:t>In other words, salamander-associated communities are differentiated from cover objects in the detection and relative abundance of OTUs along predominately shared phylogenies.</w:t>
      </w:r>
    </w:p>
    <w:p w14:paraId="0375A215" w14:textId="50D944DE"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While salamanders are statistically ‘different’ from cover objects</w:t>
      </w:r>
      <w:r w:rsidR="00AC669C">
        <w:rPr>
          <w:rFonts w:ascii="Times New Roman" w:hAnsi="Times New Roman" w:cs="Times New Roman"/>
        </w:rPr>
        <w:t>,</w:t>
      </w:r>
      <w:r w:rsidRPr="00D75A98">
        <w:rPr>
          <w:rFonts w:ascii="Times New Roman" w:hAnsi="Times New Roman" w:cs="Times New Roman"/>
        </w:rPr>
        <w:t xml:space="preserve"> salamanders show little similarity to other salamander hosts, as evident by high pairwise turnover rates and patterns of differentiation consistent with random sampling. Host secretory products act as the first line of immune defense against pathogens and form an ecological landscape for microbe colonization. Adaptation or tolerance to these secretory products appears to be common for functionally important symbionts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{"citationID":"SgkcYnFw","properties":{"formattedCitation":"(Brunetti et al., 2022; Loudon et al., 2016)","plainCitation":"(Brunetti et al., 2022; Loudon et al., 2016)","noteIndex":0},"citationItems":[{"id":255,"uris":["http://zotero.org/users/6401767/items/EYDY759D"],"itemData":{"id":255,"type":"article-journal","abstract":"The molecular bases for the symbiosis of the amphibian skin microbiome with its host are poorly understood. Here, we used the odor-producer Pseudomonas sp. MPFS and the treefrog Boana prasina as a model to explore bacterial genome determinants and the resulting mechanisms facilitating symbiosis. Pseudomonas sp. MPFS and its closest relatives, within a new clade of the P. fluoresens Group, have large genomes and were isolated from fishes and plants, suggesting environmental plasticity. We annotated 16 biosynthetic gene clusters from the complete genome sequence of this strain, including those encoding the synthesis of compounds with known antifungal activity and of odorous methoxypyrazines that likely mediate sexual interactions in Boana prasina. Comparative genomics of Pseudomonas also revealed that Pseudomonas sp. MPFS and its closest relatives have acquired specific resistance mechanisms against host antimicrobial peptides (AMPs), specifically two extra copies of a multidrug efflux pump and the same two-component regulatory systems known to trigger adaptive resistance to AMPs in P. aeruginosa. Subsequent molecular modeling indicated that these regulatory systems interact with an AMP identified in Boana prasina through the highly acidic surfaces of the proteins comprising their sensory domains. In agreement with a symbiotic relationship and a highly selective antibacterial function, this AMP did not inhibit the growth of Pseudomonas sp. MPFS but inhibited the growth of another Pseudomonas species and Escherichia coli in laboratory tests. This study provides deeper insights into the molecular interaction of the bacteria-amphibian symbiosis and highlights the role of specific adaptive resistance toward AMPs of the hosts.","container-title":"The ISME Journal","DOI":"10.1038/s41396-021-01121-7","ISSN":"1751-7370","issue":"3","journalAbbreviation":"ISME J","language":"en","license":"2021 The Author(s), under exclusive licence to International Society for Microbial Ecology","note":"number: 3\npublisher: Nature Publishing Group","page":"788-800","source":"www.nature.com","title":"Molecular basis of a bacterial-amphibian symbiosis revealed by comparative genomics, modeling, and functional testing","volume":"16","author":[{"family":"Brunetti","given":"Andrés E."},{"family":"Bunk","given":"Boyke"},{"family":"Lyra","given":"Mariana L."},{"family":"Fuzo","given":"Carlos A."},{"family":"Marani","given":"Mariela M."},{"family":"Spröer","given":"Cathrin"},{"family":"Haddad","given":"Célio F. B."},{"family":"Lopes","given":"Norberto P."},{"family":"Overmann","given":"Jörg"}],"issued":{"date-parts":[["2022",3]]}}},{"id":102,"uris":["http://zotero.org/users/6401767/items/TBGAK3AB"],"itemData":{"id":102,"type":"article-journal","abstract":"Skin bacterial communities can protect amphibians from a fungal pathogen; however, little is known about how these communities are maintained. We used a neutral model of community ecology to identify bacteria that are maintained on salamanders by selection or by dispersal from a bacterial reservoir (soil) and ecological drift. We found that 75% (9/12) of bacteria that were consistent with positive selection, &lt;1% of bacteria that were consistent with random dispersal and none of the bacteria that were consistent under negative selection had a 97% or greater match to antifungal isolates. Additionally we performed an experiment where salamanders were either provided or denied a bacterial reservoir and estimated immigration and loss (emigration and local extinction) rates of bacteria on salamanders in both treatments. Loss was strongly related to bacterial richness, suggesting competition is important for structuring the community. Bacteria closely related to antifungal isolates were more likely to persist on salamanders with or without a bacterial reservoir, suggesting they had a competitive advantage. Furthermore, over-represented and under-represented operational taxonomic units (OTUs) had similar persistence on salamanders when a bacterial reservoir was present. However, under-represented OTUs were less likely to persist in the absence of a bacterial reservoir, suggesting that the over-represented and under-represented bacteria were selected against or for on salamanders through time. Our ﬁndings from the neutral model, migration and persistence analyses show that bacteria that exhibit a high similarity to antifungal isolates persist on salamanders, which likely protect hosts against pathogens and improve ﬁtness. This research is one of the ﬁrst to apply ecological theory to investigate assembly of host associated-bacterial communities, which can provide insights for probiotic bioaugmentation as a conservation strategy against disease.","container-title":"Frontiers in Microbiology","DOI":"10.3389/fmicb.2016.00333","ISSN":"1664-302X","journalAbbreviation":"Front. Microbiol.","language":"en","source":"DOI.org (Crossref)","title":"Vertebrate Hosts as Islands: Dynamics of Selection, Immigration, Loss, Persistence, and Potential Function of Bacteria on Salamander Skin","title-short":"Vertebrate Hosts as Islands","URL":"http://journal.frontiersin.org/Article/10.3389/fmicb.2016.00333/abstract","volume":"7","author":[{"family":"Loudon","given":"Andrew H."},{"family":"Venkataraman","given":"Arvind"},{"family":"Van Treuren","given":"William"},{"family":"Woodhams","given":"Douglas C."},{"family":"Parfrey","given":"Laura Wegener"},{"family":"McKenzie","given":"Valerie J."},{"family":"Knight","given":"Rob"},{"family":"Schmidt","given":"Thomas M."},{"family":"Harris","given":"Reid N."}],"accessed":{"date-parts":[["2020",8,10]]},"issued":{"date-parts":[["2016",3,16]]}}}],"schema":"https://github.com/citation-style-language/schema/raw/master/csl-citation.json"}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(Brunetti et al., 2022; Loudon et al., 2016)</w:t>
      </w:r>
      <w:r w:rsidRPr="00D75A98">
        <w:rPr>
          <w:rFonts w:ascii="Times New Roman" w:hAnsi="Times New Roman" w:cs="Times New Roman"/>
        </w:rPr>
        <w:fldChar w:fldCharType="end"/>
      </w:r>
      <w:r w:rsidRPr="00D75A98">
        <w:rPr>
          <w:rFonts w:ascii="Times New Roman" w:hAnsi="Times New Roman" w:cs="Times New Roman"/>
        </w:rPr>
        <w:t xml:space="preserve">. While these stress-induced bioactive peptides are likely not constantly released on the skin, mucosal gland secretions responsible for regulating physiological homeostasis and preventing evaporative water loss likely play a more consistent role in shaping community interactions on amphibian skin. Recent investigations indicate these mucin-rich secretions contain an abundance of N- and O- linked oligosaccharides and can vary between anuran species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{"citationID":"Ra7d1Rrz","properties":{"formattedCitation":"(Barbosa et al., 2022)","plainCitation":"(Barbosa et al., 2022)","noteIndex":0},"citationItems":[{"id":29,"uris":["http://zotero.org/users/6401767/items/RNNK8V3S"],"itemData":{"id":29,"type":"article-journal","abstract":"Amphibians secrete a complex array of molecules that shape their interactions with coinhabiting microorganisms and macroscopic predators. Glycans are a rapidly evolving and complex class of biomolecules implicated in intrinsic and extrinsic recognition events. Despite the numerous studies aiming at the biochemical characterization of anuran skin secretions, little is known about protein-linked oligosaccharides, their synthesis pathways, and their homing secreted glycoproteins. In the present report, LC-MS/MS was used to investigate the diversity of N- and O-linked oligosaccharides in the skin secretion of two South American frogs, Pithecopus azureus and Boana raniceps. Additionally, the enzymes responsible for glycan synthesis pathways were evaluated based on their skin tissue transcriptome. Our analyses allowed the annotation of various N- and O-glycan structures commonly found in vertebrate proteins. Paucimannosidic glycans were abundant in the skin secretion of both amphibians; however, hybrid and complex N-glycan structures were detected only in B. raniceps. A good correlation between the structures discovered in glycomic analyses and transcripts encoding enzymes necessary for their synthesis was obtained. Some transcripts such as those of MAN1A2, FUT8, and ST6GALNAC were found solely in B. raniceps. Finally, secreted N- and O- linked glycoproteins were predicted from the transcriptomic data, indicating that proteases and protease inhibitors are putative sources of the glycans described herein. Overall, our results show the presence of oligosaccharides in amphibians skin secretions and suggest that their diversity is species-specific, paving the way for novel perspectives involving amphibian evolution and ecology.","container-title":"Biochimie","DOI":"10.1016/j.biochi.2022.01.008","ISSN":"0300-9084","journalAbbreviation":"Biochimie","language":"en","page":"19-37","source":"ScienceDirect","title":"A first look at the N- and O-glycosylation landscape in anuran skin secretions","volume":"197","author":[{"family":"Barbosa","given":"Eder Alves"},{"family":"Alves","given":"Gabriel Sérgio Costa"},{"family":"Coura","given":"Marcelo de Melo Andrade"},{"family":"Silva","given":"Higor de Lima","dropping-particle":"e"},{"family":"Rocha","given":"Filipe Souza","dropping-particle":"da"},{"family":"Nunes","given":"João Bueno"},{"family":"Watanabe","given":"Matheus de Souza"},{"family":"Andrade","given":"Alan Carvalho"},{"family":"Brand","given":"Guilherme Dotto"}],"issued":{"date-parts":[["2022",6,1]]}}}],"schema":"https://github.com/citation-style-language/schema/raw/master/csl-citation.json"}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(Barbosa et al., 2022)</w:t>
      </w:r>
      <w:r w:rsidRPr="00D75A98">
        <w:rPr>
          <w:rFonts w:ascii="Times New Roman" w:hAnsi="Times New Roman" w:cs="Times New Roman"/>
        </w:rPr>
        <w:fldChar w:fldCharType="end"/>
      </w:r>
      <w:r w:rsidRPr="00D75A98">
        <w:rPr>
          <w:rFonts w:ascii="Times New Roman" w:hAnsi="Times New Roman" w:cs="Times New Roman"/>
        </w:rPr>
        <w:t xml:space="preserve">. The gel-forming nature of this mucus presents a stage for symbiotic interactions between hosts, residing microbes, and potential colonizers, which has been hypothesized to result in ‘distinct’ amphibian communities attributed to host filtering. In the present study, we find little evidence for strong host filtering mechanisms. Our results suggest salamander skin could act as a selective medium promoting differentiation from cover objects at the lowest taxonomic </w:t>
      </w:r>
      <w:r w:rsidR="003A09EB" w:rsidRPr="00D75A98">
        <w:rPr>
          <w:rFonts w:ascii="Times New Roman" w:hAnsi="Times New Roman" w:cs="Times New Roman"/>
        </w:rPr>
        <w:t>levels but</w:t>
      </w:r>
      <w:r w:rsidRPr="00D75A98">
        <w:rPr>
          <w:rFonts w:ascii="Times New Roman" w:hAnsi="Times New Roman" w:cs="Times New Roman"/>
        </w:rPr>
        <w:t xml:space="preserve"> does not result in a predictable salamander-specific assemblage.</w:t>
      </w:r>
    </w:p>
    <w:p w14:paraId="52D7ACCF" w14:textId="395844D9"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Previous studies have sometimes emphasized the detection of statistically significant differences between groups without evaluating heterogeneity (diversity turnover) within groups</w:t>
      </w:r>
      <w:r w:rsidR="00A04CE9" w:rsidRPr="00D75A98">
        <w:rPr>
          <w:rFonts w:ascii="Times New Roman" w:hAnsi="Times New Roman" w:cs="Times New Roman"/>
        </w:rPr>
        <w:t xml:space="preserve">. </w:t>
      </w:r>
      <w:r w:rsidRPr="00D75A98">
        <w:rPr>
          <w:rFonts w:ascii="Times New Roman" w:hAnsi="Times New Roman" w:cs="Times New Roman"/>
        </w:rPr>
        <w:t xml:space="preserve">Thus, it can be easy to misinterpret a statistically significant difference as proof that each group has a “distinct”, “predictable”, or “specific” microbial assemblage. In many cases, this is an unwarranted inferential leap. More detailed analyses of turnover and signatures of community </w:t>
      </w:r>
      <w:r w:rsidRPr="00D75A98">
        <w:rPr>
          <w:rFonts w:ascii="Times New Roman" w:hAnsi="Times New Roman" w:cs="Times New Roman"/>
        </w:rPr>
        <w:lastRenderedPageBreak/>
        <w:t xml:space="preserve">assembly processes are needed to understand patterns of both differentiation and similarity among complex microbiomes composed of thousands of variants </w:t>
      </w:r>
      <w:r w:rsidR="00A04CE9"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{"citationID":"a28jnsba0tr","properties":{"formattedCitation":"(J. C. Stegen et al., 2013)","plainCitation":"(J. C. Stegen et al., 2013)","noteIndex":0},"citationItems":[{"id":533,"uris":["http://zotero.org/users/6401767/items/CZFRMHAY"],"itemData":{"id":533,"type":"article-journal","abstract":"Spatial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4D2321">
        <w:rPr>
          <w:rFonts w:ascii="Cambria Math" w:hAnsi="Cambria Math" w:cs="Cambria Math"/>
        </w:rPr>
        <w:instrText>∼</w:instrText>
      </w:r>
      <w:r w:rsidR="004D2321">
        <w:rPr>
          <w:rFonts w:ascii="Times New Roman" w:hAnsi="Times New Roman" w:cs="Times New Roman"/>
        </w:rPr>
        <w:instrText xml:space="preserve">25% of spatial turnover in community composition; (ii) in deeper, finer-grained sediments, Selection is strong (governing </w:instrText>
      </w:r>
      <w:r w:rsidR="004D2321">
        <w:rPr>
          <w:rFonts w:ascii="Cambria Math" w:hAnsi="Cambria Math" w:cs="Cambria Math"/>
        </w:rPr>
        <w:instrText>∼</w:instrText>
      </w:r>
      <w:r w:rsidR="004D2321">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4D2321">
        <w:rPr>
          <w:rFonts w:ascii="Cambria Math" w:hAnsi="Cambria Math" w:cs="Cambria Math"/>
        </w:rPr>
        <w:instrText>∼</w:instrText>
      </w:r>
      <w:r w:rsidR="004D2321">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L."},{"family":"Konopka","given":"Allan"}],"issued":{"date-parts":[["2013",11]]}}}],"schema":"https://github.com/citation-style-language/schema/raw/master/csl-citation.json"} </w:instrText>
      </w:r>
      <w:r w:rsidR="00A04CE9" w:rsidRPr="00D75A98">
        <w:rPr>
          <w:rFonts w:ascii="Times New Roman" w:hAnsi="Times New Roman" w:cs="Times New Roman"/>
        </w:rPr>
        <w:fldChar w:fldCharType="separate"/>
      </w:r>
      <w:r w:rsidR="004D2321">
        <w:rPr>
          <w:rFonts w:ascii="Times New Roman" w:hAnsi="Times New Roman" w:cs="Times New Roman"/>
        </w:rPr>
        <w:t>(J. C. Stegen et al., 2013)</w:t>
      </w:r>
      <w:r w:rsidR="00A04CE9" w:rsidRPr="00D75A98">
        <w:rPr>
          <w:rFonts w:ascii="Times New Roman" w:hAnsi="Times New Roman" w:cs="Times New Roman"/>
        </w:rPr>
        <w:fldChar w:fldCharType="end"/>
      </w:r>
      <w:r w:rsidR="00A04CE9" w:rsidRPr="00D75A98">
        <w:rPr>
          <w:rFonts w:ascii="Times New Roman" w:hAnsi="Times New Roman" w:cs="Times New Roman"/>
        </w:rPr>
        <w:t>.</w:t>
      </w:r>
    </w:p>
    <w:p w14:paraId="370D6F58" w14:textId="77777777"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Our results indicate differences between salamanders are largely due to neutral or weak processes. Colonization of microbes onto salamander skin is dependent on the dispersal ability of the microbe, tolerance for salamander conditions, and relationships with microbes already present. The diffuse relationships between host secretions and colonizers are further exacerbated by the diffuse interactions between residing microbes and new colonizers, meaning the appearance of random differences could be a product of weak priority effects and weak community interactions in tandem with weak host filtering and stochastic dispersal.</w:t>
      </w:r>
    </w:p>
    <w:p w14:paraId="19755D43" w14:textId="0EC1EDE1"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 xml:space="preserve">Using null models, the size of the regional pool can influence the deviation from randomized communities. A small regional pool can result in low deviation from a null community, while a large pool would drive </w:t>
      </w:r>
      <w:proofErr w:type="spellStart"/>
      <w:r w:rsidRPr="00D75A98">
        <w:rPr>
          <w:rFonts w:ascii="Times New Roman" w:hAnsi="Times New Roman" w:cs="Times New Roman"/>
        </w:rPr>
        <w:t>RC</w:t>
      </w:r>
      <w:r w:rsidRPr="00D75A98">
        <w:rPr>
          <w:rFonts w:ascii="Times New Roman" w:hAnsi="Times New Roman" w:cs="Times New Roman"/>
          <w:vertAlign w:val="subscript"/>
        </w:rPr>
        <w:t>Horn</w:t>
      </w:r>
      <w:proofErr w:type="spellEnd"/>
      <w:r w:rsidRPr="00D75A98">
        <w:rPr>
          <w:rFonts w:ascii="Times New Roman" w:hAnsi="Times New Roman" w:cs="Times New Roman"/>
        </w:rPr>
        <w:t xml:space="preserve"> values further from the null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{"citationID":"MG7guvZW","properties":{"formattedCitation":"(J. C. Stegen et al., 2013)","plainCitation":"(J. C. Stegen et al., 2013)","noteIndex":0},"citationItems":[{"id":533,"uris":["http://zotero.org/users/6401767/items/CZFRMHAY"],"itemData":{"id":533,"type":"article-journal","abstract":"Spatial turnover in the composition of biological communities is governed by (ecological) Drift, Selection and Dispersal. Commonly applied statistical tools cannot quantitatively estimate these processes, nor identify abiotic features that impose these processes. For interrogation of subsurface microbial communities distributed across two geologically distinct formations of the unconfined aquifer underlying the Hanford Site in southeastern Washington State, we developed an analytical framework that advances ecological understanding in two primary ways. First, we quantitatively estimate influences of Drift, Selection and Dispersal. Second, ecological patterns are used to characterize measured and unmeasured abiotic variables that impose Selection or that result in low levels of Dispersal. We find that (i) Drift alone consistently governs </w:instrText>
      </w:r>
      <w:r w:rsidR="004D2321">
        <w:rPr>
          <w:rFonts w:ascii="Cambria Math" w:hAnsi="Cambria Math" w:cs="Cambria Math"/>
        </w:rPr>
        <w:instrText>∼</w:instrText>
      </w:r>
      <w:r w:rsidR="004D2321">
        <w:rPr>
          <w:rFonts w:ascii="Times New Roman" w:hAnsi="Times New Roman" w:cs="Times New Roman"/>
        </w:rPr>
        <w:instrText xml:space="preserve">25% of spatial turnover in community composition; (ii) in deeper, finer-grained sediments, Selection is strong (governing </w:instrText>
      </w:r>
      <w:r w:rsidR="004D2321">
        <w:rPr>
          <w:rFonts w:ascii="Cambria Math" w:hAnsi="Cambria Math" w:cs="Cambria Math"/>
        </w:rPr>
        <w:instrText>∼</w:instrText>
      </w:r>
      <w:r w:rsidR="004D2321">
        <w:rPr>
          <w:rFonts w:ascii="Times New Roman" w:hAnsi="Times New Roman" w:cs="Times New Roman"/>
        </w:rPr>
        <w:instrText xml:space="preserve">60% of turnover), being imposed by an unmeasured but spatially structured environmental variable; (iii) in shallower, coarser-grained sediments, Selection is weaker (governing </w:instrText>
      </w:r>
      <w:r w:rsidR="004D2321">
        <w:rPr>
          <w:rFonts w:ascii="Cambria Math" w:hAnsi="Cambria Math" w:cs="Cambria Math"/>
        </w:rPr>
        <w:instrText>∼</w:instrText>
      </w:r>
      <w:r w:rsidR="004D2321">
        <w:rPr>
          <w:rFonts w:ascii="Times New Roman" w:hAnsi="Times New Roman" w:cs="Times New Roman"/>
        </w:rPr>
        <w:instrText xml:space="preserve">30% of turnover), being imposed by vertically and horizontally structured hydrological factors;(iv) low levels of Dispersal can govern nearly 30% of turnover and be caused primarily by spatial isolation resulting from limited exchange between finer and coarser-grain sediments; and (v) highly permeable sediments are associated with high levels of Dispersal that homogenize community composition and govern over 20% of turnover. We further show that our framework provides inferences that cannot be achieved using preexisting approaches, and suggest that their broad application will facilitate a unified understanding of microbial communities.","container-title":"The ISME Journal","DOI":"10.1038/ismej.2013.93","ISSN":"1751-7370","issue":"11","language":"en","license":"2013 International Society for Microbial Ecology","note":"number: 11\npublisher: Nature Publishing Group","page":"2069-2079","source":"www.nature.com","title":"Quantifying community assembly processes and identifying features that impose them","volume":"7","author":[{"family":"Stegen","given":"James C."},{"family":"Lin","given":"Xueju"},{"family":"Fredrickson","given":"Jim K."},{"family":"Chen","given":"Xingyuan"},{"family":"Kennedy","given":"David W."},{"family":"Murray","given":"Christopher J."},{"family":"Rockhold","given":"Mark L."},{"family":"Konopka","given":"Allan"}],"issued":{"date-parts":[["2013",11]]}}}],"schema":"https://github.com/citation-style-language/schema/raw/master/csl-citation.json"}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(J. C. Stegen et al., 2013)</w:t>
      </w:r>
      <w:r w:rsidRPr="00D75A98">
        <w:rPr>
          <w:rFonts w:ascii="Times New Roman" w:hAnsi="Times New Roman" w:cs="Times New Roman"/>
        </w:rPr>
        <w:fldChar w:fldCharType="end"/>
      </w:r>
      <w:r w:rsidRPr="00D75A98">
        <w:rPr>
          <w:rFonts w:ascii="Times New Roman" w:hAnsi="Times New Roman" w:cs="Times New Roman"/>
        </w:rPr>
        <w:t xml:space="preserve">. Our paired sampling design defined the regional pool as any microbe detected on a rarefied salamander or cover object sample at any given site. Moreover, pairwise comparisons among cover objects provide a valuable frame of reference for the interpretation of comparisons involving hosts. Given that cover objects possessed drastically fewer ‘Undetermined’ comparisons and even exhibited partitioning according to microhabitat utilization, our analyses were not underpowered for assessing the differences between salamanders and other salamanders. However, this analysis did reveal a subtle difference in the patterns of dissimilarity between salamanders and their associated cover object that requires contextualization. Aquatic salamander to cover object comparisons were predominately “Taxonomically Different”, while terrestrial salamander to cover object comparisons were “Undetermined”. Aquatic cover objects had higher effective diversity than terrestrial cover objects, while aquatically captured salamanders were, on average, less diverse than terrestrially captured salamanders. Average differences (Horn dissimilarity) in sites comparing aquatically captured salamanders to aquatic cover objects were higher (means: 0.84, 0.87) than in terrestrial sites (means: 0.73, 0.70). This variability, in conjunction with less diversity, and the mechanisms described in preceding paragraphs, could have driven null model estimates towards ‘Taxonomically Different’ as opposed to ‘Undetermined’. This also explains the weaker relationship between relative abundance between aquatic and terrestrial salamanders and their cover objects. While the null </w:t>
      </w:r>
      <w:r w:rsidRPr="00D75A98">
        <w:rPr>
          <w:rFonts w:ascii="Times New Roman" w:hAnsi="Times New Roman" w:cs="Times New Roman"/>
        </w:rPr>
        <w:lastRenderedPageBreak/>
        <w:t>model controls for differences in alpha diversity, the increased dissimilarity would result in a larger community pool, which would inevitably affect the assembling of probabilistic communities. In this sense, aquatically captured salamanders show more differences to their cover objects, which is both an artifact of the analysis and a representation of our sampling. Regardless, the notion that salamander-associated communities are nested communities of cover objects, or display convergence through host filtering, is refuted at the community level.</w:t>
      </w:r>
    </w:p>
    <w:p w14:paraId="46878218" w14:textId="286BA819" w:rsidR="00C425A3" w:rsidRPr="00D75A98" w:rsidRDefault="00C425A3" w:rsidP="00C425A3">
      <w:pPr>
        <w:spacing w:line="360" w:lineRule="auto"/>
        <w:ind w:firstLine="720"/>
        <w:rPr>
          <w:rFonts w:ascii="Times New Roman" w:hAnsi="Times New Roman" w:cs="Times New Roman"/>
        </w:rPr>
      </w:pPr>
      <w:r w:rsidRPr="00D75A98">
        <w:rPr>
          <w:rFonts w:ascii="Times New Roman" w:hAnsi="Times New Roman" w:cs="Times New Roman"/>
        </w:rPr>
        <w:t xml:space="preserve">While salamander skin shows little evidence of community-level convergence, we were able to identify 32 sequence variants strongly associated with salamander hosts, indicating that there may be salamander specialists or genotypes favored by conditions on salamander skin. This result might support the concept of a core community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{"citationID":"lsNLuh4s","properties":{"formattedCitation":"(Risely, 2020)","plainCitation":"(Risely, 2020)","noteIndex":0},"citationItems":[{"id":480,"uris":["http://zotero.org/users/6401767/items/HLNFWE44"],"itemData":{"id":480,"type":"article-journal","abstract":"The host-associated core microbiome was originally coined to refer to common groups of microbes or genes that were likely to be particularly important for host biological function. However, the term has evolved to encompass variable definitions across studies, often identifying key microbes with respect to their spatial distribution, temporal stability or ecological influence, as well as their contribution to host function and fitness. A major barrier to reaching a consensus over how to define the core microbiome and its relevance to biological, ecological and evolutionary theory is a lack of precise terminology and associated definitions, as well the persistent association of the core microbiome with host function. Common, temporal and ecological core microbiomes can together generate insights into ecological processes that act independently of host function, while functional and host-adapted cores distinguish between facultative and near-obligate symbionts that differ in their effects on host fitness. This commentary summarizes five broad definitions of the core microbiome that have been applied across the literature, highlighting their strengths and limitations for advancing our understanding of host–microbe systems, noting where they are likely to overlap, and discussing their potential relevance to host function and fitness. No one definition of the core microbiome is likely to capture the range of key microbes across a host population. Applied together, they have the potential to reveal different layers of microbial organization from which we can begin to understand the ecological and evolutionary processes that govern host–microbe interactions.","container-title":"Journal of Animal Ecology","DOI":"https://doi.org/10.1111/1365-2656.13229","ISSN":"1365-2656","issue":"7","language":"en","note":"_eprint: https://besjournals.onlinelibrary.wiley.com/doi/pdf/10.1111/1365-2656.13229","page":"1549-1558","source":"Wiley Online Library","title":"Applying the core microbiome to understand host–microbe systems","volume":"89","author":[{"family":"Risely","given":"Alice"}],"issued":{"date-parts":[["2020"]]}}}],"schema":"https://github.com/citation-style-language/schema/raw/master/csl-citation.json"}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(Risely, 2020)</w:t>
      </w:r>
      <w:r w:rsidRPr="00D75A98">
        <w:rPr>
          <w:rFonts w:ascii="Times New Roman" w:hAnsi="Times New Roman" w:cs="Times New Roman"/>
        </w:rPr>
        <w:fldChar w:fldCharType="end"/>
      </w:r>
      <w:r w:rsidRPr="00D75A98">
        <w:rPr>
          <w:rFonts w:ascii="Times New Roman" w:hAnsi="Times New Roman" w:cs="Times New Roman"/>
        </w:rPr>
        <w:t xml:space="preserve">, but members of this group generally account for a small proportion (2-20%) of the bacteria in samples from salamander skin. Temporal studies have also found a detectible core microbiome across seasons and habitats, with members displaying temporal constancy often associated with functional capabilities on hosts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{"citationID":"gPrWCgvS","properties":{"formattedCitation":"(Le Sage et al., 2021; Walke et al., 2021)","plainCitation":"(Le Sage et al., 2021; Walke et al., 2021)","noteIndex":0},"citationItems":[{"id":273,"uris":["http://zotero.org/users/6401767/items/VKRCI4YJ"],"itemData":{"id":273,"type":"article-journal","abstract":"Accurately predicting the impacts of climate change on wildlife health requires a deeper understanding of seasonal rhythms in host–pathogen interactions. The amphibian pathogen, Batrachochytrium dendrobatidis (Bd), exhibits seasonality in incidence; however, the role that biological rhythms in host defences play in defining this pattern remains largely unknown. The aim of this study was to examine whether host immune and microbiome defences against Bd correspond with infection risk and seasonal fluctuations in temperature and humidity. Over the course of a year, five populations of Southern leopard frogs (Rana [Lithobates] sphenocephala) in Tennessee, United States, were surveyed for host immunity, microbiome and pathogen dynamics. Frogs were swabbed for pathogen load and skin bacterial diversity and stimulated to release stored antimicrobial peptides (AMPs). Secretions were analysed to estimate total hydrophobic peptide concentrations, presence of known AMPs and effectiveness of Bd growth inhibition in vitro. The diversity and proportion of bacterial reads with a 99% match to sequences of isolates known to inhibit Bd growth in vitro were used as an estimate of predicted anti-Bd function of the skin microbiome. Batrachochytrium dendrobatidis dynamics followed the expected seasonal fluctuations—peaks in cooler months—which coincided with when host mucosal defences were most potent against Bd. Specifically, the concentration and expression of stored AMPs cycled synchronously with Bd dynamics. Although microbiome changes followed more linear trends over time, the proportion of bacteria that can function to inhibit Bd growth was greatest when risk of Bd infection was highest. We interpret the increase in peptide storage in the fall and the shift to a more anti-Bd microbiome over winter as a preparatory response for subsequent infection risk during the colder periods when AMP synthesis and bacterial growth is slow and pathogen pressure from this cool-adapted fungus is high. Given that a decrease in stored AMP concentrations as temperatures warm in spring likely means greater secretion rates, the subsequent decrease in prevalence suggests seasonality of Bd in this host may be in part regulated by annual immune rhythms, and dominated by the effects of temperature.","container-title":"Journal of Animal Ecology","DOI":"10.1111/1365-2656.13386","ISSN":"1365-2656","issue":"2","language":"en","note":"_eprint: https://onlinelibrary.wiley.com/doi/pdf/10.1111/1365-2656.13386","page":"542-554","source":"Wiley Online Library","title":"Preparatory immunity: Seasonality of mucosal skin defences and Batrachochytrium infections in Southern leopard frogs","title-short":"Preparatory immunity","volume":"90","author":[{"family":"Le Sage","given":"Emily H."},{"family":"LaBumbard","given":"Brandon C."},{"family":"Reinert","given":"Laura K."},{"family":"Miller","given":"Brian T."},{"family":"Richards-Zawacki","given":"Corinne L."},{"family":"Woodhams","given":"Doug C."},{"family":"Rollins-Smith","given":"Louise A."}],"issued":{"date-parts":[["2021"]]}}},{"id":251,"uris":["http://zotero.org/users/6401767/items/IFBDY72F"],"itemData":{"id":251,"type":"article-journal","abstract":"Amphibians host diverse skin bacteria that have a role in pathogen defense, but these skin communities could change over time and impact this function. Here, we monitored individual Eastern red-spotted newts (Notophthalmus viridescens; N = 17) for 2 years in a field pond enclosure and assessed the effects of season and disturbance on skin bacterial community dynamics. We created disturbances by adding additional pond substrate to the enclosure at two timepoints. We planned to sample the skin bacterial community and metabolite profiles of each newt every 6 weeks; we ultimately sampled eight individuals at least six times. We used 16S rRNA gene amplicon sequencing to characterize the bacterial communities and HPLC-MS for metabolite profiling. We found that disturbance had a dramatic effect on skin bacterial communities and metabolite profiles, while season had an effect only using select metrics. There were seven core bacterial taxa (97% OTUs) that were found on all newts in all seasons, pre- and post-disturbance. Lastly, there was a correlation between bacterial and metabolite profiles post-disturbance, which was not observed pre-disturbance. This longitudinal study suggests that environmental disturbances can have lasting effects on skin bacterial communities that overwhelm seasonal changes, although the core bacteria remain relatively consistent over time.","container-title":"FEMS Microbiology Ecology","language":"en","source":"Zotero","title":"Seasonal changes and the unexpected impact of environmental disturbance on skin bacteria of individual amphibians in a natural habitat","volume":"97","author":[{"family":"Walke","given":"Jenifer B"},{"family":"Becker","given":"Matthew H"},{"family":"Krinos","given":"Arianna"},{"family":"Chang","given":"B"},{"family":"Santiago","given":"Celina"},{"family":"Umile","given":"Thomas P"},{"family":"Minbiole","given":"Kevin P C"},{"family":"Belden","given":"Lisa K"}],"issued":{"date-parts":[["2021"]]}}}],"schema":"https://github.com/citation-style-language/schema/raw/master/csl-citation.json"}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(Le Sage et al., 2021; Walke et al., 2021)</w:t>
      </w:r>
      <w:r w:rsidRPr="00D75A98">
        <w:rPr>
          <w:rFonts w:ascii="Times New Roman" w:hAnsi="Times New Roman" w:cs="Times New Roman"/>
        </w:rPr>
        <w:fldChar w:fldCharType="end"/>
      </w:r>
      <w:r w:rsidRPr="00D75A98">
        <w:rPr>
          <w:rFonts w:ascii="Times New Roman" w:hAnsi="Times New Roman" w:cs="Times New Roman"/>
        </w:rPr>
        <w:t xml:space="preserve">. Correlations between shifts in bacterial communities and bacterial community metabolites post-disturbance have also been documented </w:t>
      </w:r>
      <w:r w:rsidRPr="00D75A98">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{"citationID":"YzB6Uzu7","properties":{"formattedCitation":"(Walke et al., 2015, 2021)","plainCitation":"(Walke et al., 2015, 2021)","noteIndex":0},"citationItems":[{"id":54,"uris":["http://zotero.org/users/6401767/items/KPE7IRIA"],"itemData":{"id":54,"type":"article-journal","abstract":"The vertebrate microbiome contributes to disease resistance, but few experiments have examined the link between microbiome community structure and disease resistance functions. Chytridiomycosis, a major cause of amphibian population declines, is a skin disease caused by the fungus, Batrachochytrium dendrobatidis (Bd). In a factorial experiment, bullfrog skin microbiota was reduced with antibiotics, augmented with an anti-Bd bacterial isolate (Janthinobacterium lividum), or unmanipulated, and individuals were then either exposed or not exposed to Bd. We found that the microbial community structure of individual frogs prior to Bd exposure influenced Bd infection intensity one week following exposure, which, in turn, was negatively correlated with proportional growth during the experiment. Microbial community structure and function differed among unmanipulated, antibiotic-treated, and augmented frogs only when frogs were exposed to Bd. Bd is a selective force on microbial community structure and function, and beneficial states of microbial community structure may serve to limit the impacts of infection.","container-title":"PLOS ONE","DOI":"10.1371/journal.pone.0139848","ISSN":"1932-6203","issue":"10","journalAbbreviation":"PLOS ONE","language":"en","note":"publisher: Public Library of Science","page":"e0139848","source":"PLoS Journals","title":"Community Structure and Function of Amphibian Skin Microbes: An Experiment with Bullfrogs Exposed to a Chytrid Fungus","title-short":"Community Structure and Function of Amphibian Skin Microbes","volume":"10","author":[{"family":"Walke","given":"Jenifer B."},{"family":"Becker","given":"Matthew H."},{"family":"Loftus","given":"Stephen C."},{"family":"House","given":"Leanna L."},{"family":"Teotonio","given":"Thais L."},{"family":"Minbiole","given":"Kevin P. C."},{"family":"Belden","given":"Lisa K."}],"issued":{"date-parts":[["2015",10,7]]}}},{"id":251,"uris":["http://zotero.org/users/6401767/items/IFBDY72F"],"itemData":{"id":251,"type":"article-journal","abstract":"Amphibians host diverse skin bacteria that have a role in pathogen defense, but these skin communities could change over time and impact this function. Here, we monitored individual Eastern red-spotted newts (Notophthalmus viridescens; N = 17) for 2 years in a field pond enclosure and assessed the effects of season and disturbance on skin bacterial community dynamics. We created disturbances by adding additional pond substrate to the enclosure at two timepoints. We planned to sample the skin bacterial community and metabolite profiles of each newt every 6 weeks; we ultimately sampled eight individuals at least six times. We used 16S rRNA gene amplicon sequencing to characterize the bacterial communities and HPLC-MS for metabolite profiling. We found that disturbance had a dramatic effect on skin bacterial communities and metabolite profiles, while season had an effect only using select metrics. There were seven core bacterial taxa (97% OTUs) that were found on all newts in all seasons, pre- and post-disturbance. Lastly, there was a correlation between bacterial and metabolite profiles post-disturbance, which was not observed pre-disturbance. This longitudinal study suggests that environmental disturbances can have lasting effects on skin bacterial communities that overwhelm seasonal changes, although the core bacteria remain relatively consistent over time.","container-title":"FEMS Microbiology Ecology","language":"en","source":"Zotero","title":"Seasonal changes and the unexpected impact of environmental disturbance on skin bacteria of individual amphibians in a natural habitat","volume":"97","author":[{"family":"Walke","given":"Jenifer B"},{"family":"Becker","given":"Matthew H"},{"family":"Krinos","given":"Arianna"},{"family":"Chang","given":"B"},{"family":"Santiago","given":"Celina"},{"family":"Umile","given":"Thomas P"},{"family":"Minbiole","given":"Kevin P C"},{"family":"Belden","given":"Lisa K"}],"issued":{"date-parts":[["2021"]]}}}],"schema":"https://github.com/citation-style-language/schema/raw/master/csl-citation.json"} </w:instrText>
      </w:r>
      <w:r w:rsidRPr="00D75A98">
        <w:rPr>
          <w:rFonts w:ascii="Times New Roman" w:hAnsi="Times New Roman" w:cs="Times New Roman"/>
        </w:rPr>
        <w:fldChar w:fldCharType="separate"/>
      </w:r>
      <w:r w:rsidR="004D2321">
        <w:rPr>
          <w:rFonts w:ascii="Times New Roman" w:hAnsi="Times New Roman" w:cs="Times New Roman"/>
          <w:noProof/>
        </w:rPr>
        <w:t>(Walke et al., 2015, 2021)</w:t>
      </w:r>
      <w:r w:rsidRPr="00D75A98">
        <w:rPr>
          <w:rFonts w:ascii="Times New Roman" w:hAnsi="Times New Roman" w:cs="Times New Roman"/>
        </w:rPr>
        <w:fldChar w:fldCharType="end"/>
      </w:r>
      <w:r w:rsidRPr="00D75A98">
        <w:rPr>
          <w:rFonts w:ascii="Times New Roman" w:hAnsi="Times New Roman" w:cs="Times New Roman"/>
        </w:rPr>
        <w:t>, indicating three-way interactions between the host secretory products, residing microbial metabolites, and new colonizers. This core community could be important in mediating priority effects by acting as hub taxa and facilitating or inhibiting the colonization of new microbes via niche modification. While network analyses are perhaps speculative for large communities, lab experiments manipulating introduction order in tandem with host secretions could be fruitful in understanding these interactions. Nonetheless, these indicator taxa present the most compelling candidates for future investigation of symbiotic interactions in amphibians.</w:t>
      </w:r>
    </w:p>
    <w:p w14:paraId="75364537" w14:textId="77777777" w:rsidR="00534211" w:rsidRDefault="00C425A3" w:rsidP="0003798D">
      <w:pPr>
        <w:spacing w:line="360" w:lineRule="auto"/>
        <w:ind w:firstLine="720"/>
        <w:rPr>
          <w:rFonts w:ascii="Times" w:hAnsi="Times"/>
        </w:rPr>
      </w:pPr>
      <w:r w:rsidRPr="00D75A98">
        <w:rPr>
          <w:rFonts w:ascii="Times New Roman" w:hAnsi="Times New Roman" w:cs="Times New Roman"/>
        </w:rPr>
        <w:t xml:space="preserve">Our results provide three pertinent conclusions regarding the assembly of the plethodontid skin microbiome. First, horizontal colonization from environmental reservoirs is the dominant way in which hosts acquire microbes. Relative abundance on hosts and cover objects is strongly correlated, especially at the higher taxonomic levels, underscoring the observation that the most abundant bacteria in the environment are often most abundant on salamander skin. Secondly, despite being less diverse than cover objects, salamander hosts are also comprised of statistically ‘different’ OTUs from cover objects stemming from an array of weak ecological assembly processes that result in communities being dissimilar to both cover objects and other </w:t>
      </w:r>
      <w:r w:rsidRPr="00D75A98">
        <w:rPr>
          <w:rFonts w:ascii="Times New Roman" w:hAnsi="Times New Roman" w:cs="Times New Roman"/>
        </w:rPr>
        <w:lastRenderedPageBreak/>
        <w:t>salamanders. Finally, salamander skin lacks sufficient selective structuring ability to produce distinct community similarities between individual salamanders and salamander species. Instead, residing microbes, host secretions, and high environmental transmission produce largely divergent communities with only a small potential core community shared</w:t>
      </w:r>
      <w:r w:rsidR="00083EBD" w:rsidRPr="00D75A98">
        <w:rPr>
          <w:rFonts w:ascii="Times New Roman" w:hAnsi="Times New Roman" w:cs="Times New Roman"/>
        </w:rPr>
        <w:t>.</w:t>
      </w:r>
      <w:r w:rsidR="00534211">
        <w:rPr>
          <w:rFonts w:ascii="Times" w:hAnsi="Times"/>
        </w:rPr>
        <w:t xml:space="preserve">  </w:t>
      </w:r>
    </w:p>
    <w:p w14:paraId="1FC417A1" w14:textId="2117FF58" w:rsidR="0003798D" w:rsidRDefault="005E32F5">
      <w:pPr>
        <w:rPr>
          <w:rFonts w:ascii="Times" w:hAnsi="Times"/>
        </w:rPr>
      </w:pPr>
      <w:r>
        <w:rPr>
          <w:rFonts w:ascii="Times" w:hAnsi="Times"/>
        </w:rPr>
        <w:br w:type="page"/>
      </w:r>
    </w:p>
    <w:p w14:paraId="3E7B5FC0" w14:textId="610E0832" w:rsidR="00A961B9" w:rsidRDefault="00ED6D62" w:rsidP="007C1E2B">
      <w:pPr>
        <w:pStyle w:val="Heading1"/>
        <w:rPr>
          <w:rFonts w:ascii="Times New Roman" w:hAnsi="Times New Roman" w:cs="Times New Roman"/>
          <w:i/>
          <w:iCs/>
          <w:szCs w:val="28"/>
        </w:rPr>
      </w:pPr>
      <w:bookmarkStart w:id="98" w:name="_Toc165028076"/>
      <w:r w:rsidRPr="007C1E2B">
        <w:rPr>
          <w:rFonts w:ascii="Times New Roman" w:hAnsi="Times New Roman" w:cs="Times New Roman"/>
          <w:szCs w:val="28"/>
        </w:rPr>
        <w:lastRenderedPageBreak/>
        <w:t xml:space="preserve">Chapter </w:t>
      </w:r>
      <w:r w:rsidR="00BF0187">
        <w:rPr>
          <w:rFonts w:ascii="Times New Roman" w:hAnsi="Times New Roman" w:cs="Times New Roman"/>
          <w:szCs w:val="28"/>
        </w:rPr>
        <w:t>III</w:t>
      </w:r>
      <w:r w:rsidRPr="007C1E2B">
        <w:rPr>
          <w:rFonts w:ascii="Times New Roman" w:hAnsi="Times New Roman" w:cs="Times New Roman"/>
          <w:szCs w:val="28"/>
        </w:rPr>
        <w:t xml:space="preserve">: </w:t>
      </w:r>
      <w:r w:rsidR="00C06617">
        <w:rPr>
          <w:rFonts w:ascii="Times New Roman" w:hAnsi="Times New Roman" w:cs="Times New Roman"/>
          <w:szCs w:val="28"/>
        </w:rPr>
        <w:t xml:space="preserve">Temporal turnover and the core microbiome of </w:t>
      </w:r>
      <w:r w:rsidRPr="007C1E2B">
        <w:rPr>
          <w:rFonts w:ascii="Times New Roman" w:hAnsi="Times New Roman" w:cs="Times New Roman"/>
          <w:i/>
          <w:iCs/>
          <w:szCs w:val="28"/>
        </w:rPr>
        <w:t xml:space="preserve">eurycea </w:t>
      </w:r>
      <w:r w:rsidRPr="007C1E2B">
        <w:rPr>
          <w:rFonts w:ascii="Times New Roman" w:hAnsi="Times New Roman" w:cs="Times New Roman"/>
          <w:szCs w:val="28"/>
        </w:rPr>
        <w:t>cf</w:t>
      </w:r>
      <w:r w:rsidRPr="007C1E2B">
        <w:rPr>
          <w:rFonts w:ascii="Times New Roman" w:hAnsi="Times New Roman" w:cs="Times New Roman"/>
          <w:i/>
          <w:iCs/>
          <w:szCs w:val="28"/>
        </w:rPr>
        <w:t>. wilderae</w:t>
      </w:r>
      <w:bookmarkEnd w:id="98"/>
    </w:p>
    <w:p w14:paraId="4B42E9BE" w14:textId="23E2279A" w:rsidR="007C1E2B" w:rsidRPr="00A961B9" w:rsidRDefault="00A961B9" w:rsidP="00A961B9">
      <w:pPr>
        <w:rPr>
          <w:rFonts w:ascii="Times New Roman" w:hAnsi="Times New Roman" w:cs="Times New Roman"/>
          <w:b/>
          <w:bCs/>
          <w:i/>
          <w:iCs/>
          <w:caps/>
          <w:sz w:val="28"/>
          <w:szCs w:val="28"/>
        </w:rPr>
      </w:pPr>
      <w:r>
        <w:rPr>
          <w:rFonts w:ascii="Times New Roman" w:hAnsi="Times New Roman" w:cs="Times New Roman"/>
          <w:i/>
          <w:iCs/>
          <w:szCs w:val="28"/>
        </w:rPr>
        <w:br w:type="page"/>
      </w:r>
    </w:p>
    <w:p w14:paraId="39FEF2E8" w14:textId="77777777" w:rsidR="00ED6D62" w:rsidRDefault="00ED6D62" w:rsidP="005C70DD">
      <w:pPr>
        <w:pStyle w:val="Heading2"/>
        <w:rPr>
          <w:rFonts w:ascii="Times New Roman" w:hAnsi="Times New Roman" w:cs="Times New Roman"/>
        </w:rPr>
      </w:pPr>
      <w:bookmarkStart w:id="99" w:name="_Toc165028077"/>
      <w:r w:rsidRPr="00141F13">
        <w:rPr>
          <w:rFonts w:ascii="Times New Roman" w:hAnsi="Times New Roman" w:cs="Times New Roman"/>
        </w:rPr>
        <w:lastRenderedPageBreak/>
        <w:t>Abstract</w:t>
      </w:r>
      <w:bookmarkEnd w:id="99"/>
    </w:p>
    <w:p w14:paraId="162ABA00" w14:textId="602BCC6E" w:rsidR="00172AE3" w:rsidRPr="005E32F5" w:rsidRDefault="00172AE3" w:rsidP="001C7E0F">
      <w:pPr>
        <w:spacing w:line="360" w:lineRule="auto"/>
        <w:rPr>
          <w:rFonts w:ascii="Times New Roman" w:hAnsi="Times New Roman" w:cs="Times New Roman"/>
        </w:rPr>
      </w:pPr>
      <w:r w:rsidRPr="005E32F5">
        <w:rPr>
          <w:rFonts w:ascii="Times New Roman" w:hAnsi="Times New Roman" w:cs="Times New Roman"/>
        </w:rPr>
        <w:t xml:space="preserve">External microbiomes, such as the amphibian skin, are in constant contact with environmental reservoirs and experience high rates of immigration. </w:t>
      </w:r>
      <w:r w:rsidR="001B15E9" w:rsidRPr="005E32F5">
        <w:rPr>
          <w:rFonts w:ascii="Times New Roman" w:hAnsi="Times New Roman" w:cs="Times New Roman"/>
        </w:rPr>
        <w:t>Predicting</w:t>
      </w:r>
      <w:r w:rsidRPr="005E32F5">
        <w:rPr>
          <w:rFonts w:ascii="Times New Roman" w:hAnsi="Times New Roman" w:cs="Times New Roman"/>
        </w:rPr>
        <w:t xml:space="preserve"> </w:t>
      </w:r>
      <w:r w:rsidR="001B15E9" w:rsidRPr="005E32F5">
        <w:rPr>
          <w:rFonts w:ascii="Times New Roman" w:hAnsi="Times New Roman" w:cs="Times New Roman"/>
        </w:rPr>
        <w:t xml:space="preserve">the </w:t>
      </w:r>
      <w:r w:rsidRPr="005E32F5">
        <w:rPr>
          <w:rFonts w:ascii="Times New Roman" w:hAnsi="Times New Roman" w:cs="Times New Roman"/>
        </w:rPr>
        <w:t xml:space="preserve">natural range of variation </w:t>
      </w:r>
      <w:r w:rsidR="001B15E9" w:rsidRPr="005E32F5">
        <w:rPr>
          <w:rFonts w:ascii="Times New Roman" w:hAnsi="Times New Roman" w:cs="Times New Roman"/>
        </w:rPr>
        <w:t xml:space="preserve">for such microbiomes </w:t>
      </w:r>
      <w:r w:rsidRPr="005E32F5">
        <w:rPr>
          <w:rFonts w:ascii="Times New Roman" w:hAnsi="Times New Roman" w:cs="Times New Roman"/>
        </w:rPr>
        <w:t xml:space="preserve">is important for understanding how communities </w:t>
      </w:r>
      <w:r w:rsidR="001B15E9" w:rsidRPr="005E32F5">
        <w:rPr>
          <w:rFonts w:ascii="Times New Roman" w:hAnsi="Times New Roman" w:cs="Times New Roman"/>
        </w:rPr>
        <w:t xml:space="preserve">might </w:t>
      </w:r>
      <w:r w:rsidRPr="005E32F5">
        <w:rPr>
          <w:rFonts w:ascii="Times New Roman" w:hAnsi="Times New Roman" w:cs="Times New Roman"/>
        </w:rPr>
        <w:t xml:space="preserve">respond to disturbance </w:t>
      </w:r>
      <w:r w:rsidR="001B15E9" w:rsidRPr="005E32F5">
        <w:rPr>
          <w:rFonts w:ascii="Times New Roman" w:hAnsi="Times New Roman" w:cs="Times New Roman"/>
        </w:rPr>
        <w:t>in addition to parsing transient associations from candidates linked to host benefits</w:t>
      </w:r>
      <w:r w:rsidRPr="005E32F5">
        <w:rPr>
          <w:rFonts w:ascii="Times New Roman" w:hAnsi="Times New Roman" w:cs="Times New Roman"/>
        </w:rPr>
        <w:t>. In this study, we use the phenology of a migratory salamander (</w:t>
      </w:r>
      <w:r w:rsidRPr="005E32F5">
        <w:rPr>
          <w:rFonts w:ascii="Times New Roman" w:hAnsi="Times New Roman" w:cs="Times New Roman"/>
          <w:i/>
          <w:iCs/>
        </w:rPr>
        <w:t>E.</w:t>
      </w:r>
      <w:r w:rsidRPr="005E32F5">
        <w:rPr>
          <w:rFonts w:ascii="Times New Roman" w:hAnsi="Times New Roman" w:cs="Times New Roman"/>
        </w:rPr>
        <w:t xml:space="preserve"> cf. </w:t>
      </w:r>
      <w:proofErr w:type="spellStart"/>
      <w:r w:rsidRPr="005E32F5">
        <w:rPr>
          <w:rFonts w:ascii="Times New Roman" w:hAnsi="Times New Roman" w:cs="Times New Roman"/>
          <w:i/>
          <w:iCs/>
        </w:rPr>
        <w:t>wilderae</w:t>
      </w:r>
      <w:proofErr w:type="spellEnd"/>
      <w:r w:rsidRPr="005E32F5">
        <w:rPr>
          <w:rFonts w:ascii="Times New Roman" w:hAnsi="Times New Roman" w:cs="Times New Roman"/>
        </w:rPr>
        <w:t xml:space="preserve">) to understand seasonal changes in skin assemblages as hosts move between aquatic and terrestrial habitats. We additionally test the utility of a core microbiome </w:t>
      </w:r>
      <w:r w:rsidR="001B15E9" w:rsidRPr="005E32F5">
        <w:rPr>
          <w:rFonts w:ascii="Times New Roman" w:hAnsi="Times New Roman" w:cs="Times New Roman"/>
        </w:rPr>
        <w:t xml:space="preserve">concept </w:t>
      </w:r>
      <w:r w:rsidRPr="005E32F5">
        <w:rPr>
          <w:rFonts w:ascii="Times New Roman" w:hAnsi="Times New Roman" w:cs="Times New Roman"/>
        </w:rPr>
        <w:t xml:space="preserve">using two commonly applied and two modified definitions. </w:t>
      </w:r>
      <w:r w:rsidR="001B15E9" w:rsidRPr="005E32F5">
        <w:rPr>
          <w:rFonts w:ascii="Times New Roman" w:hAnsi="Times New Roman" w:cs="Times New Roman"/>
        </w:rPr>
        <w:t xml:space="preserve">Seasonal </w:t>
      </w:r>
      <w:r w:rsidRPr="005E32F5">
        <w:rPr>
          <w:rFonts w:ascii="Times New Roman" w:hAnsi="Times New Roman" w:cs="Times New Roman"/>
        </w:rPr>
        <w:t xml:space="preserve">heterogeneity </w:t>
      </w:r>
      <w:r w:rsidR="001B15E9" w:rsidRPr="005E32F5">
        <w:rPr>
          <w:rFonts w:ascii="Times New Roman" w:hAnsi="Times New Roman" w:cs="Times New Roman"/>
        </w:rPr>
        <w:t>was</w:t>
      </w:r>
      <w:r w:rsidRPr="005E32F5">
        <w:rPr>
          <w:rFonts w:ascii="Times New Roman" w:hAnsi="Times New Roman" w:cs="Times New Roman"/>
        </w:rPr>
        <w:t xml:space="preserve"> high between salamander hosts</w:t>
      </w:r>
      <w:r w:rsidR="001B15E9" w:rsidRPr="005E32F5">
        <w:rPr>
          <w:rFonts w:ascii="Times New Roman" w:hAnsi="Times New Roman" w:cs="Times New Roman"/>
        </w:rPr>
        <w:t xml:space="preserve">, but </w:t>
      </w:r>
      <w:r w:rsidRPr="005E32F5">
        <w:rPr>
          <w:rFonts w:ascii="Times New Roman" w:hAnsi="Times New Roman" w:cs="Times New Roman"/>
        </w:rPr>
        <w:t xml:space="preserve">turnover </w:t>
      </w:r>
      <w:r w:rsidR="001B15E9" w:rsidRPr="005E32F5">
        <w:rPr>
          <w:rFonts w:ascii="Times New Roman" w:hAnsi="Times New Roman" w:cs="Times New Roman"/>
        </w:rPr>
        <w:t>was</w:t>
      </w:r>
      <w:r w:rsidRPr="005E32F5">
        <w:rPr>
          <w:rFonts w:ascii="Times New Roman" w:hAnsi="Times New Roman" w:cs="Times New Roman"/>
        </w:rPr>
        <w:t xml:space="preserve"> exacerbated when hosts change</w:t>
      </w:r>
      <w:r w:rsidR="001B15E9" w:rsidRPr="005E32F5">
        <w:rPr>
          <w:rFonts w:ascii="Times New Roman" w:hAnsi="Times New Roman" w:cs="Times New Roman"/>
        </w:rPr>
        <w:t>d</w:t>
      </w:r>
      <w:r w:rsidRPr="005E32F5">
        <w:rPr>
          <w:rFonts w:ascii="Times New Roman" w:hAnsi="Times New Roman" w:cs="Times New Roman"/>
        </w:rPr>
        <w:t xml:space="preserve"> habitats</w:t>
      </w:r>
      <w:r w:rsidR="001B15E9" w:rsidRPr="005E32F5">
        <w:rPr>
          <w:rFonts w:ascii="Times New Roman" w:hAnsi="Times New Roman" w:cs="Times New Roman"/>
        </w:rPr>
        <w:t>, consistent with immigration of</w:t>
      </w:r>
      <w:r w:rsidRPr="005E32F5">
        <w:rPr>
          <w:rFonts w:ascii="Times New Roman" w:hAnsi="Times New Roman" w:cs="Times New Roman"/>
        </w:rPr>
        <w:t xml:space="preserve"> microbes from a </w:t>
      </w:r>
      <w:r w:rsidR="00B243E0">
        <w:rPr>
          <w:rFonts w:ascii="Times New Roman" w:hAnsi="Times New Roman" w:cs="Times New Roman"/>
        </w:rPr>
        <w:t>new</w:t>
      </w:r>
      <w:r w:rsidRPr="005E32F5">
        <w:rPr>
          <w:rFonts w:ascii="Times New Roman" w:hAnsi="Times New Roman" w:cs="Times New Roman"/>
        </w:rPr>
        <w:t xml:space="preserve"> regional pool. </w:t>
      </w:r>
      <w:r w:rsidR="00B243E0">
        <w:rPr>
          <w:rFonts w:ascii="Times New Roman" w:hAnsi="Times New Roman" w:cs="Times New Roman"/>
        </w:rPr>
        <w:t>Potentially d</w:t>
      </w:r>
      <w:r w:rsidR="001B15E9" w:rsidRPr="005E32F5">
        <w:rPr>
          <w:rFonts w:ascii="Times New Roman" w:hAnsi="Times New Roman" w:cs="Times New Roman"/>
        </w:rPr>
        <w:t xml:space="preserve">efensive </w:t>
      </w:r>
      <w:r w:rsidR="00B243E0">
        <w:rPr>
          <w:rFonts w:ascii="Times New Roman" w:hAnsi="Times New Roman" w:cs="Times New Roman"/>
        </w:rPr>
        <w:t>microbes</w:t>
      </w:r>
      <w:r w:rsidR="001B15E9" w:rsidRPr="005E32F5">
        <w:rPr>
          <w:rFonts w:ascii="Times New Roman" w:hAnsi="Times New Roman" w:cs="Times New Roman"/>
        </w:rPr>
        <w:t xml:space="preserve"> capable of inhibiting the growth of chytrid </w:t>
      </w:r>
      <w:r w:rsidR="00B243E0">
        <w:rPr>
          <w:rFonts w:ascii="Times New Roman" w:hAnsi="Times New Roman" w:cs="Times New Roman"/>
        </w:rPr>
        <w:t xml:space="preserve">fungi </w:t>
      </w:r>
      <w:r w:rsidR="001B15E9" w:rsidRPr="005E32F5">
        <w:rPr>
          <w:rFonts w:ascii="Times New Roman" w:hAnsi="Times New Roman" w:cs="Times New Roman"/>
        </w:rPr>
        <w:t xml:space="preserve">were most abundant when hosts occupied terrestrial </w:t>
      </w:r>
      <w:proofErr w:type="gramStart"/>
      <w:r w:rsidR="001B15E9" w:rsidRPr="005E32F5">
        <w:rPr>
          <w:rFonts w:ascii="Times New Roman" w:hAnsi="Times New Roman" w:cs="Times New Roman"/>
        </w:rPr>
        <w:t>habitats</w:t>
      </w:r>
      <w:proofErr w:type="gramEnd"/>
      <w:r w:rsidR="001B15E9" w:rsidRPr="005E32F5">
        <w:rPr>
          <w:rFonts w:ascii="Times New Roman" w:hAnsi="Times New Roman" w:cs="Times New Roman"/>
        </w:rPr>
        <w:t xml:space="preserve"> but </w:t>
      </w:r>
      <w:r w:rsidR="00C06617">
        <w:rPr>
          <w:rFonts w:ascii="Times New Roman" w:hAnsi="Times New Roman" w:cs="Times New Roman"/>
        </w:rPr>
        <w:t xml:space="preserve">some </w:t>
      </w:r>
      <w:r w:rsidR="001B15E9" w:rsidRPr="005E32F5">
        <w:rPr>
          <w:rFonts w:ascii="Times New Roman" w:hAnsi="Times New Roman" w:cs="Times New Roman"/>
        </w:rPr>
        <w:t xml:space="preserve">showed persistence on hosts year-round despite low abundance in aquatic habitats. </w:t>
      </w:r>
      <w:r w:rsidR="00815AA0" w:rsidRPr="005E32F5">
        <w:rPr>
          <w:rFonts w:ascii="Times New Roman" w:hAnsi="Times New Roman" w:cs="Times New Roman"/>
        </w:rPr>
        <w:t>These results</w:t>
      </w:r>
      <w:r w:rsidR="001B15E9" w:rsidRPr="005E32F5">
        <w:rPr>
          <w:rFonts w:ascii="Times New Roman" w:hAnsi="Times New Roman" w:cs="Times New Roman"/>
        </w:rPr>
        <w:t xml:space="preserve"> indicate the amphibian skin microbiome </w:t>
      </w:r>
      <w:r w:rsidR="0036226A">
        <w:rPr>
          <w:rFonts w:ascii="Times New Roman" w:hAnsi="Times New Roman" w:cs="Times New Roman"/>
        </w:rPr>
        <w:t>lacks temporal constancy</w:t>
      </w:r>
      <w:r w:rsidR="00A91B6E" w:rsidRPr="005E32F5">
        <w:rPr>
          <w:rFonts w:ascii="Times New Roman" w:hAnsi="Times New Roman" w:cs="Times New Roman"/>
        </w:rPr>
        <w:t xml:space="preserve"> but contains a few </w:t>
      </w:r>
      <w:r w:rsidR="00FF045E">
        <w:rPr>
          <w:rFonts w:ascii="Times New Roman" w:hAnsi="Times New Roman" w:cs="Times New Roman"/>
        </w:rPr>
        <w:t>microbes</w:t>
      </w:r>
      <w:r w:rsidR="00A91B6E" w:rsidRPr="005E32F5">
        <w:rPr>
          <w:rFonts w:ascii="Times New Roman" w:hAnsi="Times New Roman" w:cs="Times New Roman"/>
        </w:rPr>
        <w:t xml:space="preserve"> with affinity for salamander conditions </w:t>
      </w:r>
      <w:r w:rsidR="0036226A">
        <w:rPr>
          <w:rFonts w:ascii="Times New Roman" w:hAnsi="Times New Roman" w:cs="Times New Roman"/>
        </w:rPr>
        <w:t>that</w:t>
      </w:r>
      <w:r w:rsidR="00A91B6E" w:rsidRPr="005E32F5">
        <w:rPr>
          <w:rFonts w:ascii="Times New Roman" w:hAnsi="Times New Roman" w:cs="Times New Roman"/>
        </w:rPr>
        <w:t xml:space="preserve"> </w:t>
      </w:r>
      <w:r w:rsidR="00B243E0">
        <w:rPr>
          <w:rFonts w:ascii="Times New Roman" w:hAnsi="Times New Roman" w:cs="Times New Roman"/>
        </w:rPr>
        <w:t>also</w:t>
      </w:r>
      <w:r w:rsidR="00A91B6E" w:rsidRPr="005E32F5">
        <w:rPr>
          <w:rFonts w:ascii="Times New Roman" w:hAnsi="Times New Roman" w:cs="Times New Roman"/>
        </w:rPr>
        <w:t xml:space="preserve"> </w:t>
      </w:r>
      <w:r w:rsidR="00B243E0">
        <w:rPr>
          <w:rFonts w:ascii="Times New Roman" w:hAnsi="Times New Roman" w:cs="Times New Roman"/>
        </w:rPr>
        <w:t>produce</w:t>
      </w:r>
      <w:r w:rsidR="00A91B6E" w:rsidRPr="005E32F5">
        <w:rPr>
          <w:rFonts w:ascii="Times New Roman" w:hAnsi="Times New Roman" w:cs="Times New Roman"/>
        </w:rPr>
        <w:t xml:space="preserve"> anti-fungal </w:t>
      </w:r>
      <w:r w:rsidR="00B243E0">
        <w:rPr>
          <w:rFonts w:ascii="Times New Roman" w:hAnsi="Times New Roman" w:cs="Times New Roman"/>
        </w:rPr>
        <w:t>compounds</w:t>
      </w:r>
      <w:r w:rsidR="00A91B6E" w:rsidRPr="005E32F5">
        <w:rPr>
          <w:rFonts w:ascii="Times New Roman" w:hAnsi="Times New Roman" w:cs="Times New Roman"/>
        </w:rPr>
        <w:t>.</w:t>
      </w:r>
      <w:r w:rsidR="0036226A">
        <w:rPr>
          <w:rFonts w:ascii="Times New Roman" w:hAnsi="Times New Roman" w:cs="Times New Roman"/>
        </w:rPr>
        <w:t xml:space="preserve"> These non-random associations provide opportunities for deeper investigation into the mechanisms underlying persistence on hosts and the potential for reciprocal benefits in an external microbiome.</w:t>
      </w:r>
    </w:p>
    <w:p w14:paraId="04B98A10" w14:textId="6DC76997" w:rsidR="00ED6D62" w:rsidRPr="005E32F5" w:rsidRDefault="00ED6D62" w:rsidP="005C70DD">
      <w:pPr>
        <w:pStyle w:val="Heading2"/>
        <w:rPr>
          <w:rFonts w:ascii="Times New Roman" w:hAnsi="Times New Roman" w:cs="Times New Roman"/>
        </w:rPr>
      </w:pPr>
      <w:bookmarkStart w:id="100" w:name="_Toc165028078"/>
      <w:r w:rsidRPr="005E32F5">
        <w:rPr>
          <w:rFonts w:ascii="Times New Roman" w:hAnsi="Times New Roman" w:cs="Times New Roman"/>
        </w:rPr>
        <w:t>Introduction</w:t>
      </w:r>
      <w:bookmarkEnd w:id="100"/>
    </w:p>
    <w:p w14:paraId="60E53070" w14:textId="5841A389"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Complex host-associated microbiomes, such as the skin and gut, consist of many individuals with diverse relationships to each other and the host. The assembly of these ecological communities is dependent on varying strengths of environmental colonization, host traits, and microbe-microbe interactions. Internal microbiomes are generally more resistant to immigrants due to an often-inhospitable gut environment and tight ecological networks (sometimes referred to as ‘colonization resistance’)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{"citationID":"4WlXt8Sa","properties":{"formattedCitation":"(Shade et al., 2012; Sylvain et al., 2020)","plainCitation":"(Shade et al., 2012; Sylvain et al., 2020)","noteIndex":0},"citationItems":[{"id":388,"uris":["http://zotero.org/users/6401767/items/IYH8959C"],"itemData":{"id":388,"type":"article-journal","abstract":"Whether host-associated microbiomes are mostly shaped by species-specific or environmental factors is still unresolved. In particular, it is unknown to what extent microbial communities from two different host tissues from the same host respond to these factors. Our study is one of the first to focus on the microbiome of teleost fish to shed a light on this topic as we investigate how the phylogenetic structure of microbial communities from two distinct fish tissues are shaped by species- and habitat-specific factors. Our study showed that in contrast to the teleost gut microbiome, skin mucus communities are highly environment dependent. This result has various implications: (i) the skin mucus microbiome should be used, rather than the gut, to investigate bacterial biomarkers of ecosystem perturbance in the wild, and (ii) the gut microbiome is better suited for studies of the drivers of phylosymbiosis, or the coevolution of fish and their symbionts., Teleost fish represent an invaluable repertoire of host species to study the factors shaping animal-associated microbiomes. Several studies have shown that the phylogenetic structure of the fish gut microbiome is driven by species-specific (e.g., host ancestry, genotype, or diet) and habitat-specific (e.g., hydrochemical parameters and bacterioplankton composition) factors. However, our understanding of other host-associated microbial niches, such as the skin mucus microbiome, remains limited. The goal of our study was to explore simultaneously the phylogenetic structure of the fish skin mucus and gut microbiome and compare the effect of species- and habitat-specific drivers on the structure of microbial communities in both tissues. We sampled 114 wild fish from 6 populations of 3 ecologically and phylogenetically contrasting Amazonian teleost species. Water samples were collected at each site, and 10 physicochemical parameters were characterized. The skin mucus, gut, and water microbial communities were characterized using a metabarcoding approach targeting the V3-V4 regions of the 16S rRNA. Our results showed a significant distinction between the phylogenetic profile and diversity of the microbiome from each microbial niche. Skin mucus and bacterioplankton communities were significantly closer in composition than gut and free-living communities. Species-specific factors mostly modulated gut bacterial communities, while the skin mucus microbiome was predominantly associated with environmental physicochemistry and bacterioplankton community structure. These results suggest that the variable skin mucus community is a relevant target for the development of microbial biomarkers of environmental status, while the more conserved gut microbiome is better suited to study long-term host-microbe interactions over evolutionary time scales., IMPORTANCE Whether host-associated microbiomes are mostly shaped by species-specific or environmental factors is still unresolved. In particular, it is unknown to what extent microbial communities from two different host tissues from the same host respond to these factors. Our study is one of the first to focus on the microbiome of teleost fish to shed a light on this topic as we investigate how the phylogenetic structure of microbial communities from two distinct fish tissues are shaped by species- and habitat-specific factors. Our study showed that in contrast to the teleost gut microbiome, skin mucus communities are highly environment dependent. This result has various implications: (i) the skin mucus microbiome should be used, rather than the gut, to investigate bacterial biomarkers of ecosystem perturbance in the wild, and (ii) the gut microbiome is better suited for studies of the drivers of phylosymbiosis, or the coevolution of fish and their symbionts.","container-title":"Applied and Environmental Microbiology","DOI":"10.1128/AEM.00789-20","ISSN":"0099-2240","issue":"16","journalAbbreviation":"Appl Environ Microbiol","note":"PMID: 32503908\nPMCID: PMC7414953","page":"e00789-20","source":"PubMed Central","title":"Fish Skin and Gut Microbiomes Show Contrasting Signatures of Host Species and Habitat","volume":"86","author":[{"family":"Sylvain","given":"François-Étienne"},{"family":"Holland","given":"Aleicia"},{"family":"Bouslama","given":"Sidki"},{"family":"Audet-Gilbert","given":"Émie"},{"family":"Lavoie","given":"Camille"},{"family":"Val","given":"Adalberto Luis"},{"family":"Derome","given":"Nicolas"}],"issued":{"date-parts":[["2020",8,3]]}}},{"id":387,"uris":["http://zotero.org/users/6401767/items/T25J22VI"],"itemData":{"id":387,"type":"article-journal","abstract":"Microbial communities are at the heart of all ecosystems, and yet microbial community behavior in disturbed environments remains difficult to measure and predict. Understanding the drivers of microbial community stability, including resistance (insensitivity to disturbance) and resilience (the rate of recovery after disturbance) is important for predicting community response to disturbance. Here, we provide an overview of the concepts of stability that are relevant for microbial communities. First, we highlight insights from ecology that are useful for defining and measuring stability. To determine whether general disturbance responses exist for microbial communities, we next examine representative studies from the literature that investigated community responses to press (long-term) and pulse (short-term) disturbances in a variety of habitats. Then we discuss the biological features of individual microorganisms, of microbial populations, and of microbial communities that may govern overall community stability. We conclude with thoughts about the unique insights that systems perspectives – informed by meta-omics data – may provide about microbial community stability.","container-title":"Frontiers in Microbiology","ISSN":"1664-302X","source":"Frontiers","title":"Fundamentals of Microbial Community Resistance and Resilience","URL":"https://www.frontiersin.org/articles/10.3389/fmicb.2012.00417","volume":"3","author":[{"family":"Shade","given":"Ashley"},{"family":"Peter","given":"Hannes"},{"family":"Allison","given":"Steven"},{"family":"Baho","given":"Didier"},{"family":"Berga","given":"Mercé"},{"family":"Buergmann","given":"Helmut"},{"family":"Huber","given":"David"},{"family":"Langenheder","given":"Silke"},{"family":"Lennon","given":"Jay"},{"family":"Martiny","given":"Jennifer"},{"family":"Matulich","given":"Kristin"},{"family":"Schmidt","given":"Thomas"},{"family":"Handelsman","given":"Jo"}],"accessed":{"date-parts":[["2024",1,27]]},"issued":{"date-parts":[["2012"]]}}}],"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(Shade et al., 2012; Sylvain et al., 2020)</w:t>
      </w:r>
      <w:r w:rsidRPr="005E32F5">
        <w:rPr>
          <w:rFonts w:ascii="Times New Roman" w:hAnsi="Times New Roman" w:cs="Times New Roman"/>
        </w:rPr>
        <w:fldChar w:fldCharType="end"/>
      </w:r>
      <w:r w:rsidRPr="005E32F5">
        <w:rPr>
          <w:rFonts w:ascii="Times New Roman" w:hAnsi="Times New Roman" w:cs="Times New Roman"/>
        </w:rPr>
        <w:t xml:space="preserve">. External microbiomes tend to be more porous and experience high rates of immigration from surrounding reservoirs, often resulting in heterogeneous communities that reflect local conditions. This reliance on external reservoirs makes parsing relationships to the host difficult for external microbiomes. Laboratory assays have found examples of hosts benefiting from individual and collective symbionts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{"citationID":"a4JXK63n","properties":{"formattedCitation":"(Brunetti et al., 2019; Jani et al., 2021; Vaelli et al., 2020)","plainCitation":"(Brunetti et al., 2019; Jani et al., 2021; Vaelli et al., 2020)","noteIndex":0},"citationItems":[{"id":58,"uris":["http://zotero.org/users/6401767/items/5R3LVGD7"],"itemData":{"id":58,"type":"article-journal","abstract":"Infectious pathogens can disrupt the microbiome in addition to directly affecting the host. Impacts of disease may be dependent on the ability of the microbiome to recover from such disturbance, yet remarkably little is known about microbiome recovery after disease, particularly in nonhuman animals. We assessed the resilience of the amphibian skin microbial community after disturbance by the pathogen, Batrachochytrium dendrobatidis (Bd). Skin microbial communities of laboratory-reared mountain yellow-legged frogs were tracked through three experimental phases: prior to Bd infection, after Bd infection (disturbance), and after clearing Bd infection (recovery period). Bd infection disturbed microbiome composition and altered the relative abundances of several dominant bacterial taxa. After Bd infection, frogs were treated with an antifungal drug that cleared Bd infection, but this did not lead to recovery of microbiome composition (measured as Unifrac distance) or relative abundances of dominant bacterial groups. These results indicate that Bd infection can lead to an alternate stable state in the microbiome of sensitive amphibians, or that microbiome recovery is extremely slow—in either case resilience is low. Furthermore, antifungal treatment and clearance of Bd infection had the additional effect of reducing microbial community variability, which we hypothesize results from similarity across frogs in the taxa that colonize community vacancies resulting from the removal of Bd. Our results indicate that the skin microbiota of mountain yellow-legged frogs has low resilience following Bd-induced disturbance and is further altered by the process of clearing Bd infection, which may have implications for the conservation of this endangered amphibian.","container-title":"The ISME Journal","DOI":"10.1038/s41396-020-00875-w","ISSN":"1751-7370","issue":"6","journalAbbreviation":"ISME J","language":"en","license":"2021 The Author(s)","note":"number: 6\npublisher: Nature Publishing Group","page":"1628-1640","source":"www.nature.com","title":"The amphibian microbiome exhibits poor resilience following pathogen-induced disturbance","volume":"15","author":[{"family":"Jani","given":"Andrea J."},{"family":"Bushell","given":"Jessie"},{"family":"Arisdakessian","given":"Cédric G."},{"family":"Belcaid","given":"Mahdi"},{"family":"Boiano","given":"Daniel M."},{"family":"Brown","given":"Cathy"},{"family":"Knapp","given":"Roland A."}],"issued":{"date-parts":[["2021",6]]}}},{"id":163,"uris":["http://zotero.org/users/6401767/items/9IE7APBV"],"itemData":{"id":163,"type":"article-journal","abstract":"Rough-skinned newts (Taricha granulosa) use tetrodotoxin (TTX) to block voltage-gated sodium (Nav) channels as a chemical defense against predation. Interestingly, newts exhibit extreme population-level variation in toxicity attributed to a coevolutionary arms race with TTX-resistant predatory snakes, but the source of TTX in newts is unknown. Here, we investigated whether symbiotic bacteria isolated from toxic newts could produce TTX. We characterized the skin-associated microbiota from a toxic and non-toxic population of newts and established pure cultures of isolated bacterial symbionts from toxic newts. We then screened bacterial culture media for TTX using LC-MS/MS and identified TTX-producing bacterial strains from four genera, including Aeromonas, Pseudomonas, Shewanella, and Sphingopyxis. Additionally, we sequenced the Nav channel gene family in toxic newts and found that newts expressed Nav channels with modified TTX binding sites, conferring extreme physiological resistance to TTX. This study highlights the complex interactions among adaptive physiology, animal-bacterial symbiosis, and ecological context.","container-title":"eLife","DOI":"10.7554/eLife.53898","ISSN":"2050-084X","note":"publisher: eLife Sciences Publications, Ltd","page":"e53898","source":"eLife","title":"The skin microbiome facilitates adaptive tetrodotoxin production in poisonous newts","volume":"9","author":[{"family":"Vaelli","given":"Patric M"},{"family":"Theis","given":"Kevin R"},{"family":"Williams","given":"Janet E"},{"family":"O'Connell","given":"Lauren A"},{"family":"Foster","given":"James A"},{"family":"Eisthen","given":"Heather L"}],"editor":[{"family":"Baldwin","given":"Ian T"},{"family":"Robert","given":"Christelle AM"},{"family":"Robert","given":"Christelle AM"},{"family":"González Montoya","given":"Mabel Cristina"}],"issued":{"date-parts":[["2020",4,7]]}}},{"id":162,"uris":["http://zotero.org/users/6401767/items/DU2JAHLN"],"itemData":{"id":162,"type":"article-journal","abstract":"Amphibians are known to possess a wide variety of compounds stored in their skin glands. While significant progress has been made in understanding the chemical diversity and biological relevance of alkaloids, amines, steroids, and peptides, most aspects of the odorous secretions are completely unknown. In this study, we examined sexual variations in the volatile profile from the skin of the tree frog Boana prasina and combined culture and culture-independent methods to investigate if microorganisms might be a source of these compounds. We found that sesquiterpenes, thioethers, and methoxypyrazines are major contributors to the observed sex differences. We also observed that each sex has a distinct profile of methoxypyrazines, and that the chemical origin of these compounds can be traced to a Pseudomonas sp. strain isolated from the frog’s skin. This symbiotic bacterium was present in almost all individuals examined from different sites and was maintained in captive conditions, supporting its significance as the source of methoxypyrazines in these frogs. Our results highlight the potential relevance of bacteria as a source of chemical signals in amphibians and contribute to increasing our understanding of the role that symbiotic associations have in animals.","container-title":"Proceedings of the National Academy of Sciences","DOI":"10.1073/pnas.1806834116","ISSN":"0027-8424, 1091-6490","issue":"6","journalAbbreviation":"PNAS","language":"en","license":"© 2019 . https://www.pnas.org/site/aboutpnas/licenses.xhtmlPublished under the PNAS license.","note":"publisher: National Academy of Sciences\nsection: Biological Sciences\nPMID: 30670649","page":"2124-2129","source":"www.pnas.org","title":"Symbiotic skin bacteria as a source for sex-specific scents in frogs","volume":"116","author":[{"family":"Brunetti","given":"Andrés E."},{"family":"Lyra","given":"Mariana L."},{"family":"Melo","given":"Weilan G. P."},{"family":"Andrade","given":"Laura E."},{"family":"Palacios-Rodríguez","given":"Pablo"},{"family":"Prado","given":"Bárbara M."},{"family":"Haddad","given":"Célio F. B."},{"family":"Pupo","given":"Mônica T."},{"family":"Lopes","given":"Norberto P."}],"issued":{"date-parts":[["2019",2,5]]}}}],"schema":"https://github.com/citation-style-language/schema/raw/master/csl-citation.json"}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rPr>
        <w:t>(Brunetti et al., 2019; Jani et al., 2021; Vaelli et al., 2020)</w:t>
      </w:r>
      <w:r w:rsidRPr="005E32F5">
        <w:rPr>
          <w:rFonts w:ascii="Times New Roman" w:hAnsi="Times New Roman" w:cs="Times New Roman"/>
        </w:rPr>
        <w:fldChar w:fldCharType="end"/>
      </w:r>
      <w:r w:rsidRPr="005E32F5">
        <w:rPr>
          <w:rFonts w:ascii="Times New Roman" w:hAnsi="Times New Roman" w:cs="Times New Roman"/>
        </w:rPr>
        <w:t xml:space="preserve">. </w:t>
      </w:r>
      <w:r w:rsidRPr="005E32F5">
        <w:rPr>
          <w:rFonts w:ascii="Times New Roman" w:hAnsi="Times New Roman" w:cs="Times New Roman"/>
        </w:rPr>
        <w:lastRenderedPageBreak/>
        <w:t>However, these isolated interactions, while informative for how symbionts could impact host fitness, offer little insight into the dynamics of host-associated complex communities in nature. Salamander-associated communities show assembly patterns consistent with stochastic dispersal and extinction, with host communities heavily reliant on environmental reservoirs. As such, heterogeneous communities- even between co-occurring hosts- make it difficult to imagine when, if ever, a stable state is reached and what the ramifications might be for hosts after short-term (pulse) or long-term (press) disturbances.</w:t>
      </w:r>
    </w:p>
    <w:p w14:paraId="5380112D" w14:textId="7BB780B1"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Community stability describes the ability of a community to minimize variability or return to its original state after disturbance and can be broken down into three linked facets: constancy, resistance, and recovery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{"citationID":"b26iOpPs","properties":{"formattedCitation":"(de Bello et al., 2021)","plainCitation":"(de Bello et al., 2021)","noteIndex":0},"citationItems":[{"id":308,"uris":["http://zotero.org/users/6401767/items/W2FPFZ3G"],"itemData":{"id":308,"type":"article-journal","abstract":"Under global change, how biological diversity and ecosystem services are maintained in time is a fundamental question. Ecologists have long argued about multiple mechanisms by which local biodiversity might control the temporal stability of ecosystem properties. Accumulating theories and empirical evidence suggest that, together with different population and community parameters, these mechanisms largely operate through differences in functional traits among organisms. We review potential trait-stability mechanisms together with underlying tests and associated metrics. We identify various trait-based components, each accounting for different stability mechanisms, that contribute to buffering, or propagating, the effect of environmental fluctuations on ecosystem functioning. This comprehensive picture, obtained by combining different puzzle pieces of trait-stability effects, will guide future empirical and modeling investigations.","container-title":"Trends in Ecology &amp; Evolution","DOI":"10.1016/j.tree.2021.05.001","ISSN":"0169-5347","issue":"9","journalAbbreviation":"Trends in Ecology &amp; Evolution","language":"en","page":"822-836","source":"ScienceDirect","title":"Functional trait effects on ecosystem stability: assembling the jigsaw puzzle","title-short":"Functional trait effects on ecosystem stability","volume":"36","author":[{"family":"Bello","given":"Francesco","non-dropping-particle":"de"},{"family":"Lavorel","given":"Sandra"},{"family":"Hallett","given":"Lauren M."},{"family":"Valencia","given":"Enrique"},{"family":"Garnier","given":"Eric"},{"family":"Roscher","given":"Christiane"},{"family":"Conti","given":"Luisa"},{"family":"Galland","given":"Thomas"},{"family":"Goberna","given":"Marta"},{"family":"Májeková","given":"Maria"},{"family":"Montesinos-Navarro","given":"Alicia"},{"family":"Pausas","given":"Juli G."},{"family":"Verdú","given":"Miguel"},{"family":"E-Vojtkó","given":"Anna"},{"family":"Götzenberger","given":"Lars"},{"family":"Lepš","given":"Jan"}],"issued":{"date-parts":[["2021",9,1]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(de Bello et al., 2021)</w:t>
      </w:r>
      <w:r w:rsidRPr="005E32F5">
        <w:rPr>
          <w:rFonts w:ascii="Times New Roman" w:hAnsi="Times New Roman" w:cs="Times New Roman"/>
        </w:rPr>
        <w:fldChar w:fldCharType="end"/>
      </w:r>
      <w:r w:rsidRPr="005E32F5">
        <w:rPr>
          <w:rFonts w:ascii="Times New Roman" w:hAnsi="Times New Roman" w:cs="Times New Roman"/>
        </w:rPr>
        <w:t xml:space="preserve">. For host-associated communities, disturbances are diverse in their severity and modes of action but can broadly fall into three non-mutually exclusive categories- those altering the sources (changing the immigrant pool), those directly altering the species interactions (immigrants or pathogens), and disturbances to the host that evoke physiological/immunological changes to the symbiotic landscape (host injury, stress, pathogens). Community responses to these disturbances can range from a return to a stable state (original composition), alternative stable states (different, but stable composition)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{"citationID":"cXGOd1eo","properties":{"formattedCitation":"(Ravel et al., 2011)","plainCitation":"(Ravel et al., 2011)","noteIndex":0},"citationItems":[{"id":1775,"uris":["http://zotero.org/users/6401767/items/LJPIDZ7K"],"itemData":{"id":1775,"type":"article-journal","abstract":"The means by which vaginal microbiomes help prevent urogenital diseases in women and maintain health are poorly understood. To gain insight into this, the vaginal bacterial communities of 396 asymptomatic North American women who represented four ethnic groups (white, black, Hispanic, and Asian) were sampled and the species composition characterized by pyrosequencing of barcoded 16S rRNA genes. The communities clustered into five groups: four were dominated by Lactobacillus iners, L. crispatus, L. gasseri, or L. jensenii, whereas the fifth had lower proportions of lactic acid bacteria and higher proportions of strictly anaerobic organisms, indicating that a potential key ecological function, the production of lactic acid, seems to be conserved in all communities. The proportions of each community group varied among the four ethnic groups, and these differences were statistically significant [χ2(10) = 36.8, P &lt; 0.0001]. Moreover, the vaginal pH of women in different ethnic groups also differed and was higher in Hispanic (pH 5.0 ± 0.59) and black (pH 4.7 ± 1.04) women as compared with Asian (pH 4.4 ± 0.59) and white (pH 4.2 ± 0.3) women. Phylotypes with correlated relative abundances were found in all communities, and these patterns were associated with either high or low Nugent scores, which are used as a factor for the diagnosis of bacterial vaginosis. The inherent differences within and between women in different ethnic groups strongly argues for a more refined definition of the kinds of bacterial communities normally found in healthy women and the need to appreciate differences between individuals so they can be taken into account in risk assessment and disease diagnosis.","container-title":"Proceedings of the National Academy of Sciences","DOI":"10.1073/pnas.1002611107","issue":"supplement_1","note":"publisher: Proceedings of the National Academy of Sciences","page":"4680-4687","source":"pnas.org (Atypon)","title":"Vaginal microbiome of reproductive-age women","volume":"108","author":[{"family":"Ravel","given":"Jacques"},{"family":"Gajer","given":"Pawel"},{"family":"Abdo","given":"Zaid"},{"family":"Schneider","given":"G. Maria"},{"family":"Koenig","given":"Sara S. K."},{"family":"McCulle","given":"Stacey L."},{"family":"Karlebach","given":"Shara"},{"family":"Gorle","given":"Reshma"},{"family":"Russell","given":"Jennifer"},{"family":"Tacket","given":"Carol O."},{"family":"Brotman","given":"Rebecca M."},{"family":"Davis","given":"Catherine C."},{"family":"Ault","given":"Kevin"},{"family":"Peralta","given":"Ligia"},{"family":"Forney","given":"Larry J."}],"issued":{"date-parts":[["2011",3,15]]}}}],"schema":"https://github.com/citation-style-language/schema/raw/master/csl-citation.json"}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(Ravel et al., 2011)</w:t>
      </w:r>
      <w:r w:rsidRPr="005E32F5">
        <w:rPr>
          <w:rFonts w:ascii="Times New Roman" w:hAnsi="Times New Roman" w:cs="Times New Roman"/>
        </w:rPr>
        <w:fldChar w:fldCharType="end"/>
      </w:r>
      <w:r w:rsidRPr="005E32F5">
        <w:rPr>
          <w:rFonts w:ascii="Times New Roman" w:hAnsi="Times New Roman" w:cs="Times New Roman"/>
        </w:rPr>
        <w:t xml:space="preserve">, or a regime shift (large change between alternative stable states)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{"citationID":"6qtucy2a","properties":{"formattedCitation":"(Gonze et al., 2017)","plainCitation":"(Gonze et al., 2017)","noteIndex":0},"citationItems":[{"id":386,"uris":["http://zotero.org/users/6401767/items/2ATTHPKU"],"itemData":{"id":386,"type":"article-journal","abstract":"The study of host-associated microbial community composition has suggested the presence of alternative community types. We discuss three mechanisms that could explain these observations. The most commonly invoked mechanism links community types to a response to environmental change; alternatively, community types were shown to emerge from interactions between members of local communities sampled from a metacommunity. Here, we emphasize multi-stability as a third mechanism, giving rise to different community types in the same environmental conditions. We illustrate with a toy model how multi-stability can generate community types and discuss the consequences of multi-stability for data interpretation.","container-title":"The ISME Journal","DOI":"10.1038/ismej.2017.60","ISSN":"1751-7362","issue":"10","journalAbbreviation":"The ISME Journal","page":"2159-2166","source":"Silverchair","title":"Multi-stability and the origin of microbial community types","volume":"11","author":[{"family":"Gonze","given":"Didier"},{"family":"Lahti","given":"Leo"},{"family":"Raes","given":"Jeroen"},{"family":"Faust","given":"Karoline"}],"issued":{"date-parts":[["2017",10,1]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(Gonze et al., 2017)</w:t>
      </w:r>
      <w:r w:rsidRPr="005E32F5">
        <w:rPr>
          <w:rFonts w:ascii="Times New Roman" w:hAnsi="Times New Roman" w:cs="Times New Roman"/>
        </w:rPr>
        <w:fldChar w:fldCharType="end"/>
      </w:r>
      <w:r w:rsidRPr="005E32F5">
        <w:rPr>
          <w:rFonts w:ascii="Times New Roman" w:hAnsi="Times New Roman" w:cs="Times New Roman"/>
        </w:rPr>
        <w:t xml:space="preserve">. In amphibian-associated skin communities, disturbances have been evaluated in the context of disruption to the immigrant pool </w:t>
      </w:r>
      <w:r w:rsidRPr="005E32F5">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{"citationID":"3ilnbosa","properties":{"formattedCitation":"(Hern\\uc0\\u225{}ndez-G\\uc0\\u243{}mez, Byrne, et al., 2020b; Jim\\uc0\\u233{}nez et al., 2020)","plainCitation":"(Hernández-Gómez, Byrne, et al., 2020b; Jiménez et al., 2020)","noteIndex":0},"citationItems":[{"id":282,"uris":["http://zotero.org/users/6401767/items/A6Z4IXX5"],"itemData":{"id":282,"type":"article-journal","abstract":"Invasive plants are major drivers of habitat modification and the scale of their impact is increasing globally as anthropogenic activities facilitate their spread. In California, an invasive plant genus of great concern is Eucalyptus. Eucalyptus leaves can alter soil chemistry and negatively affect underground macro- and microbial communities. Amphibians serve as excellent models to evaluate the effect of Eucalyptus invasion on ground-dwelling species as they predate on soil arthropods and incorporate soil microbes into their microbiotas. The skin microbiota is particularly important to amphibian health, suggesting that invasive plant species could ultimately affect amphibian populations. To investigate the potential for invasive vegetation to induce changes in microbial communities, we sampled microbial communities in the soil and on the skin of local amphibians. Specifically, we compared Batrachoseps attenuatus skin microbiomes in both Eucalyptus globulus (Myrtaceae) and native Quercus agriflolia (Fagaceae) dominated forests in the San Francisco Bay Area. We determined whether changes in microbial diversity and composition in both soil and Batrachoseps attenuatus skin were associated with dominant vegetation type. To evaluate animal health across vegetation types, we compared Batrachoseps attenuatus body condition and the presence/absence of the amphibian skin pathogen Batrachochytrium dendrobatidis. We found that Eucalyptus invasion had no measurable effect on soil microbial community diversity and a relatively small effect (compared to the effect of site identity) on community structure in the microhabitats sampled. In contrast, our results show that Batrachoseps attenuatus skin microbiota diversity was greater in Quercus dominated habitats. One amplicon sequence variant identified in the family Chlamydiaceae was observed in higher relative abundance among salamanders sampled in Eucalyptus dominated habitats. We also observed that Batrachoseps attenuatus body condition was higher in Quercus dominated habitats. Incidence of Batrachochytrium dendrobatidis across all individuals was very low (only one Batrachochytrium dendrobatidis positive individual). The effect on body condition demonstrates that although Eucalyptus may not always decrease amphibian abundance or diversity, it can potentially have cryptic negative effects. Our findings prompt further work to determine the mechanisms that lead to changes in the health and microbiome of native species post-plant invasion.","container-title":"PeerJ","DOI":"10.7717/peerj.8549","ISSN":"2167-8359","journalAbbreviation":"PeerJ","language":"en","note":"publisher: PeerJ Inc.","page":"e8549","source":"peerj.com","title":"Invasive vegetation affects amphibian skin microbiota and body condition","volume":"8","author":[{"family":"Hernández-Gómez","given":"Obed"},{"family":"Byrne","given":"Allison Q."},{"family":"Gunderson","given":"Alex R."},{"family":"Jenkinson","given":"Thomas S."},{"family":"Noss","given":"Clay F."},{"family":"Rothstein","given":"Andrew P."},{"family":"Womack","given":"Molly C."},{"family":"Rosenblum","given":"Erica B."}],"issued":{"date-parts":[["2020",2,19]]}}},{"id":527,"uris":["http://zotero.org/users/6401767/items/DGQP3WA6"],"itemData":{"id":527,"type":"article-journal","abstract":"The skin microbiome serves as a first line defense against pathogens in vertebrates. In amphibians, it has the potential to protect against the chytrid fungus Batrachochytrium dendrobatis (Bd), a likely agent of amphibian declines. Alteration of the microbiome associated with unfavorable environmental changes produced by anthropogenic activities may make the host more susceptible to pathogens. Some amphibian species that were thought to be “extinct” have been rediscovered years after population declines in the late 1980s probably due to evolved Bd-resistance and are now threatened by anthropogenic land-use changes. Understanding the effects of habitat disturbance on the host skin microbiome is relevant for understanding the health of these species, along with its susceptibility to pathogens such as Bd. Here, we investigate the influence of habitat alteration on the skin bacterial communities as well as specifically the putative Bd-inhibitory bacterial communities of the montane frog Lithobates vibicarius. This species, after years of not being observed, was rediscovered in small populations inhabiting undisturbed and disturbed landscapes, and with continuous presence of Bd.","container-title":"BMC Microbiology","DOI":"10.1186/s12866-020-01979-1","ISSN":"1471-2180","issue":"1","journalAbbreviation":"BMC Microbiol","language":"en","page":"292","source":"Springer Link","title":"Habitat disturbance influences the skin microbiome of a rediscovered neotropical-montane frog","volume":"20","author":[{"family":"Jiménez","given":"Randall R."},{"family":"Alvarado","given":"Gilbert"},{"family":"Sandoval","given":"José"},{"family":"Sommer","given":"Simone"}],"issued":{"date-parts":[["2020",9,22]]}}}],"schema":"https://github.com/citation-style-language/schema/raw/master/csl-citation.json"} </w:instrText>
      </w:r>
      <w:r w:rsidRPr="005E32F5">
        <w:rPr>
          <w:rFonts w:ascii="Times New Roman" w:hAnsi="Times New Roman" w:cs="Times New Roman"/>
        </w:rPr>
        <w:fldChar w:fldCharType="separate"/>
      </w:r>
      <w:r w:rsidR="00CB244F" w:rsidRPr="00CB244F">
        <w:rPr>
          <w:rFonts w:ascii="Times New Roman" w:hAnsi="Times New Roman" w:cs="Times New Roman"/>
        </w:rPr>
        <w:t>(Hernández-Gómez, Byrne, et al., 2020b; Jiménez et al., 2020)</w:t>
      </w:r>
      <w:r w:rsidRPr="005E32F5">
        <w:rPr>
          <w:rFonts w:ascii="Times New Roman" w:hAnsi="Times New Roman" w:cs="Times New Roman"/>
        </w:rPr>
        <w:fldChar w:fldCharType="end"/>
      </w:r>
      <w:r w:rsidRPr="005E32F5">
        <w:rPr>
          <w:rFonts w:ascii="Times New Roman" w:hAnsi="Times New Roman" w:cs="Times New Roman"/>
        </w:rPr>
        <w:t xml:space="preserve">, exposure to skin pathogens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{"citationID":"mOKfD24o","properties":{"formattedCitation":"(Jani &amp; Briggs, 2014; Weeks et al., 2020)","plainCitation":"(Jani &amp; Briggs, 2014; Weeks et al., 2020)","noteIndex":0},"citationItems":[{"id":274,"uris":["http://zotero.org/users/6401767/items/JZ43Z388"],"itemData":{"id":274,"type":"article-journal","abstract":"Microorganisms have intimate functional relationships with invertebrate and vertebrate taxa, with the potential to drastically impact health outcomes. Perturbations that affect microbial communities residing on animals can lead to dysbiosis, a change in the functional relationship, often associated with disease. Batrachochytrium dendrobatidis (Bd), a fungal pathogen of amphibians, has been responsible for catastrophic amphibian population declines around the globe. Amphibians harbor a diverse cutaneous microbiome, including some members which are known to be antagonistic to Bd (anti-Bd). Anti-Bd microorganisms facilitate the ability of some frog populations to persist in the presence of Bd, where other populations that lack anti-Bd microorganisms have declined. Research suggests disease-antagonistic properties of the microbiome may be a function of microbial community interactions, rather than individual bacterial species. Conservation efforts have identified amphibian-associated bacteria that exhibit anti-fungal properties for use as ‘probiotics’ on susceptible amphibian populations. Probiotic application, usually with a single bacterial species, may benefit from a greater understanding of amphibian species-specific microbiome responses to disturbances (e.g. dysbiosis vs. recovery). We assessed microbiome responses to two microbial disturbance events over multiple time points.","container-title":"Animal Microbiome","DOI":"10.1186/s42523-020-00053-5","ISSN":"2524-4671","issue":"1","journalAbbreviation":"anim microbiome","language":"en","page":"35","source":"Springer Link","title":"Recovery and resiliency of skin microbial communities on the southern leopard frog (Lithobates sphenocephalus) following two biotic disturbances","volume":"2","author":[{"family":"Weeks","given":"Denita M."},{"family":"Parris","given":"Matthew J."},{"family":"Brown","given":"Shawn P."}],"issued":{"date-parts":[["2020",9,22]]}}},{"id":175,"uris":["http://zotero.org/users/6401767/items/79C7AE5S"],"itemData":{"id":175,"type":"article-journal","abstract":"Symbiotic microbial communities may interact with infectious pathogens sharing a common host. The microbiome may limit pathogen infection or, conversely, an invading pathogen can disturb the microbiome. Documentation of such relationships during naturally occurring disease outbreaks is rare, and identifying causal links from field observations is difficult. This study documented the effects of an amphibian skin pathogen of global conservation concern [the chytrid fungus Batrachochytrium dendrobatidis (Bd)] on the skin-associated bacterial microbiome of the endangered frog, Rana sierrae, using a combination of population surveys and laboratory experiments. We examined covariation of pathogen infection and bacterial microbiome composition in wild frogs, demonstrating a strong and consistent correlation between Bd infection load and bacterial community composition in multiple R. sierrae populations. Despite the correlation between Bd infection load and bacterial community composition, we observed 100% mortality of postmetamorphic frogs during a Bd epizootic, suggesting that the relationship between Bd and bacterial communities was not linked to variation in resistance to mortal disease and that Bd infection altered bacterial communities. In a controlled experiment, Bd infection significantly altered the R. sierrae microbiome, demonstrating a causal relationship. The response of microbial communities to Bd infection was remarkably consistent: Several bacterial taxa showed the same response to Bd infection across multiple field populations and the laboratory experiment, indicating a somewhat predictable interaction between Bd and the microbiome. The laboratory experiment demonstrates that Bd infection causes changes to amphibian skin bacterial communities, whereas the laboratory and field results together strongly support Bd disturbance as a driver of bacterial community change during natural disease dynamics.","container-title":"Proceedings of the National Academy of Sciences","DOI":"10.1073/pnas.1412752111","ISSN":"0027-8424, 1091-6490","issue":"47","journalAbbreviation":"PNAS","language":"en","note":"publisher: National Academy of Sciences\nsection: PNAS Plus\nPMID: 25385615","page":"E5049-E5058","source":"www.pnas.org","title":"The pathogen Batrachochytrium dendrobatidis disturbs the frog skin microbiome during a natural epidemic and experimental infection","volume":"111","author":[{"family":"Jani","given":"Andrea J."},{"family":"Briggs","given":"Cheryl J."}],"issued":{"date-parts":[["2014",11,25]]}}}],"schema":"https://github.com/citation-style-language/schema/raw/master/csl-citation.json"}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(Jani &amp; Briggs, 2014; Weeks et al., 2020)</w:t>
      </w:r>
      <w:r w:rsidRPr="005E32F5">
        <w:rPr>
          <w:rFonts w:ascii="Times New Roman" w:hAnsi="Times New Roman" w:cs="Times New Roman"/>
        </w:rPr>
        <w:fldChar w:fldCharType="end"/>
      </w:r>
      <w:r w:rsidRPr="005E32F5">
        <w:rPr>
          <w:rFonts w:ascii="Times New Roman" w:hAnsi="Times New Roman" w:cs="Times New Roman"/>
        </w:rPr>
        <w:t xml:space="preserve">, or host harm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{"citationID":"vCqsgCu7","properties":{"formattedCitation":"(Hern\\uc0\\u225{}ndez-G\\uc0\\u243{}mez, Wuerthner, et al., 2020)","plainCitation":"(Hernández-Gómez, Wuerthner, et al., 2020)","noteIndex":0},"citationItems":[{"id":330,"uris":["http://zotero.org/users/6401767/items/FIHE9V3I"],"itemData":{"id":330,"type":"article-journal","abstract":"Holistic approaches that simultaneously characterize responses of both microbial symbionts and their hosts to environmental shifts are imperative to understanding the role of microbiotas on host health. Using the northern leopard frog (Lithobates pipiens) as our model, we investigated the effects of a common trematode (family Echinostomatidae), a common agricultural antimicrobial (Sulfadimethoxine; SDM), and their interaction on amphibian skin microbiota and amphibian health (growth metrics and susceptibility to parasites). In the trematode-exposed individuals, we noted an increase in alpha diversity and a shift in microbial communities. In the SDM-treated individuals, we found a change in the composition of the skin microbiota similar to those induced by the trematode treatment. Groups treated with SDM, echinostomes, or a combination of SDM and echinostomes, had higher relative abundances of OTUs assigned to Flavobacterium and Acinetobacter. Both of these genera have been associated with infectious disease in amphibians and the production of anti-pathogen metabolites. Similar changes in microbial community composition between SDM and trematode exposed individuals may have resulted from stress-related disruption of host immunity. Despite changes in the microbiota, we found no effect of echinostomes and SDM on host health. Given the current disease- and pollution-related threats facing amphibians, our study highlights the need to continue to evaluate the influence of natural and anthropogenic stressors on host-associated microbial communities.","container-title":"Microbial Ecology","DOI":"10.1007/s00248-019-01351-5","ISSN":"1432-184X","issue":"1","journalAbbreviation":"Microb Ecol","language":"en","page":"175-191","source":"Springer Link","title":"Amphibian Host and Skin Microbiota Response to a Common Agricultural Antimicrobial and Internal Parasite","volume":"79","author":[{"family":"Hernández-Gómez","given":"Obed"},{"family":"Wuerthner","given":"Vanessa"},{"family":"Hua","given":"Jessica"}],"issued":{"date-parts":[["2020",1,1]]}}}],"schema":"https://github.com/citation-style-language/schema/raw/master/csl-citation.json"} </w:instrText>
      </w:r>
      <w:r w:rsidRPr="005E32F5">
        <w:rPr>
          <w:rFonts w:ascii="Times New Roman" w:hAnsi="Times New Roman" w:cs="Times New Roman"/>
        </w:rPr>
        <w:fldChar w:fldCharType="separate"/>
      </w:r>
      <w:r w:rsidR="004D2321" w:rsidRPr="004D2321">
        <w:rPr>
          <w:rFonts w:ascii="Times New Roman" w:hAnsi="Times New Roman" w:cs="Times New Roman"/>
        </w:rPr>
        <w:t>(Hernández-Gómez, Wuerthner, et al., 2020)</w:t>
      </w:r>
      <w:r w:rsidRPr="005E32F5">
        <w:rPr>
          <w:rFonts w:ascii="Times New Roman" w:hAnsi="Times New Roman" w:cs="Times New Roman"/>
        </w:rPr>
        <w:fldChar w:fldCharType="end"/>
      </w:r>
      <w:r w:rsidRPr="005E32F5">
        <w:rPr>
          <w:rFonts w:ascii="Times New Roman" w:hAnsi="Times New Roman" w:cs="Times New Roman"/>
        </w:rPr>
        <w:t xml:space="preserve">, with host-associated communities typically showing increased group dispersion, rapid compositional changes, and loss of taxa linked with anti-fungal capabilities, indicating low resistance to all types of disturbances. Similarly, community recovery post-disturbance often fails to result in a return to the original state for amphibian-associated communities, but some evidence suggests alternative stable states, although potentially confounded by captive conditions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{"citationID":"MFW2YkYH","properties":{"formattedCitation":"(Jani et al., 2021)","plainCitation":"(Jani et al., 2021)","noteIndex":0},"citationItems":[{"id":58,"uris":["http://zotero.org/users/6401767/items/5R3LVGD7"],"itemData":{"id":58,"type":"article-journal","abstract":"Infectious pathogens can disrupt the microbiome in addition to directly affecting the host. Impacts of disease may be dependent on the ability of the microbiome to recover from such disturbance, yet remarkably little is known about microbiome recovery after disease, particularly in nonhuman animals. We assessed the resilience of the amphibian skin microbial community after disturbance by the pathogen, Batrachochytrium dendrobatidis (Bd). Skin microbial communities of laboratory-reared mountain yellow-legged frogs were tracked through three experimental phases: prior to Bd infection, after Bd infection (disturbance), and after clearing Bd infection (recovery period). Bd infection disturbed microbiome composition and altered the relative abundances of several dominant bacterial taxa. After Bd infection, frogs were treated with an antifungal drug that cleared Bd infection, but this did not lead to recovery of microbiome composition (measured as Unifrac distance) or relative abundances of dominant bacterial groups. These results indicate that Bd infection can lead to an alternate stable state in the microbiome of sensitive amphibians, or that microbiome recovery is extremely slow—in either case resilience is low. Furthermore, antifungal treatment and clearance of Bd infection had the additional effect of reducing microbial community variability, which we hypothesize results from similarity across frogs in the taxa that colonize community vacancies resulting from the removal of Bd. Our results indicate that the skin microbiota of mountain yellow-legged frogs has low resilience following Bd-induced disturbance and is further altered by the process of clearing Bd infection, which may have implications for the conservation of this endangered amphibian.","container-title":"The ISME Journal","DOI":"10.1038/s41396-020-00875-w","ISSN":"1751-7370","issue":"6","journalAbbreviation":"ISME J","language":"en","license":"2021 The Author(s)","note":"number: 6\npublisher: Nature Publishing Group","page":"1628-1640","source":"www.nature.com","title":"The amphibian microbiome exhibits poor resilience following pathogen-induced disturbance","volume":"15","author":[{"family":"Jani","given":"Andrea J."},{"family":"Bushell","given":"Jessie"},{"family":"Arisdakessian","given":"Cédric G."},{"family":"Belcaid","given":"Mahdi"},{"family":"Boiano","given":"Daniel M."},{"family":"Brown","given":"Cathy"},{"family":"Knapp","given":"Roland A."}],"issued":{"date-parts":[["2021",6]]}}}],"schema":"https://github.com/citation-style-language/schema/raw/master/csl-citation.json"}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(Jani et al., 2021)</w:t>
      </w:r>
      <w:r w:rsidRPr="005E32F5">
        <w:rPr>
          <w:rFonts w:ascii="Times New Roman" w:hAnsi="Times New Roman" w:cs="Times New Roman"/>
        </w:rPr>
        <w:fldChar w:fldCharType="end"/>
      </w:r>
      <w:r w:rsidRPr="005E32F5">
        <w:rPr>
          <w:rFonts w:ascii="Times New Roman" w:hAnsi="Times New Roman" w:cs="Times New Roman"/>
        </w:rPr>
        <w:t>. Given the global decline in amphibians stemming from land-use change, climate change, and fungal pathogens, understanding the dynamics predicting how communities respond to disturbances can aid in estimating the potential effects of emerging disturbances on hosts and external symbionts.</w:t>
      </w:r>
    </w:p>
    <w:p w14:paraId="46482508" w14:textId="0A3EF7E3" w:rsidR="002E26CD"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lastRenderedPageBreak/>
        <w:t xml:space="preserve">Of particular importance for interpreting community responses to disturbance events (pathogen, climate change) is defining expectations of ‘natural variation’ or ‘normal operating range’ for host-associated communities. Temporal community turnover of bacteria on hosts is generally high for amphibians, yet there is some evidence for ‘structural stability’ in the retention of taxa temporally, with ‘rare’ taxa being the most transient, while moderately abundant taxa fluctuate over time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{"citationID":"cjP1Pylb","properties":{"formattedCitation":"(Ellison et al., 2021; Walke et al., 2021)","plainCitation":"(Ellison et al., 2021; Walke et al., 2021)","noteIndex":0},"citationItems":[{"id":272,"uris":["http://zotero.org/users/6401767/items/4IU2W5NM"],"itemData":{"id":272,"type":"article-journal","abstract":"The amphibian skin microbiome has been the focus of numerous studies because of the protective effects that some bacteria provide against the pathogenic fungus Batrachochytrium dendrobatidis, which has caused a global panzootic among amphibians. However, the mechanisms driving community structure and function in the amphibian skin microbiome are still poorly understood, and longitudinal analyses of the skin microbiome have not yet been conducted in wild populations. In this study, we investigate longitudinal patterns in the skin microbiome of 19 individually marked adult frogs from two wild populations of the endangered Sierra Nevada yellow-legged frog (Rana sierrae), sampled over the course of 2 years. We found that individuals with low bacterial diversity (dominated by order Burkhorderiales) had significantly more stable bacterial communities than those with higher diversity. Amplicon sequence variants (ASVs) with high relative abundance were significantly less transient than those with low relative abundance, and ASVs with intermediate-level relative abundances experienced the greatest volatility over time. Based on these results, we suggest that efforts to develop probiotic treatments to combat B. dendrobatidis should focus on bacteria that are found at high relative abundances in some members of a population, as these strains are more likely to persist and remain stable in the long term.","container-title":"ISME Communications","DOI":"10.1038/s43705-021-00047-7","ISSN":"2730-6151","issue":"1","journalAbbreviation":"ISME COMMUN.","language":"en","license":"2021 The Author(s)","note":"number: 1\npublisher: Nature Publishing Group","page":"1-11","source":"www.nature.com","title":"Longitudinal patterns in the skin microbiome of wild, individually marked frogs from the Sierra Nevada, California","volume":"1","author":[{"family":"Ellison","given":"Silas"},{"family":"Knapp","given":"Roland"},{"family":"Vredenburg","given":"Vance"}],"issued":{"date-parts":[["2021",9,1]]}}},{"id":251,"uris":["http://zotero.org/users/6401767/items/IFBDY72F"],"itemData":{"id":251,"type":"article-journal","abstract":"Amphibians host diverse skin bacteria that have a role in pathogen defense, but these skin communities could change over time and impact this function. Here, we monitored individual Eastern red-spotted newts (Notophthalmus viridescens; N = 17) for 2 years in a field pond enclosure and assessed the effects of season and disturbance on skin bacterial community dynamics. We created disturbances by adding additional pond substrate to the enclosure at two timepoints. We planned to sample the skin bacterial community and metabolite profiles of each newt every 6 weeks; we ultimately sampled eight individuals at least six times. We used 16S rRNA gene amplicon sequencing to characterize the bacterial communities and HPLC-MS for metabolite profiling. We found that disturbance had a dramatic effect on skin bacterial communities and metabolite profiles, while season had an effect only using select metrics. There were seven core bacterial taxa (97% OTUs) that were found on all newts in all seasons, pre- and post-disturbance. Lastly, there was a correlation between bacterial and metabolite profiles post-disturbance, which was not observed pre-disturbance. This longitudinal study suggests that environmental disturbances can have lasting effects on skin bacterial communities that overwhelm seasonal changes, although the core bacteria remain relatively consistent over time.","container-title":"FEMS Microbiology Ecology","language":"en","source":"Zotero","title":"Seasonal changes and the unexpected impact of environmental disturbance on skin bacteria of individual amphibians in a natural habitat","volume":"97","author":[{"family":"Walke","given":"Jenifer B"},{"family":"Becker","given":"Matthew H"},{"family":"Krinos","given":"Arianna"},{"family":"Chang","given":"B"},{"family":"Santiago","given":"Celina"},{"family":"Umile","given":"Thomas P"},{"family":"Minbiole","given":"Kevin P C"},{"family":"Belden","given":"Lisa K"}],"issued":{"date-parts":[["2021"]]}}}],"schema":"https://github.com/citation-style-language/schema/raw/master/csl-citation.json"}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(Ellison et al., 2021; Walke et al., 2021)</w:t>
      </w:r>
      <w:r w:rsidRPr="005E32F5">
        <w:rPr>
          <w:rFonts w:ascii="Times New Roman" w:hAnsi="Times New Roman" w:cs="Times New Roman"/>
        </w:rPr>
        <w:fldChar w:fldCharType="end"/>
      </w:r>
      <w:r w:rsidRPr="005E32F5">
        <w:rPr>
          <w:rFonts w:ascii="Times New Roman" w:hAnsi="Times New Roman" w:cs="Times New Roman"/>
        </w:rPr>
        <w:t xml:space="preserve">. For studies focusing on temporal variation in a single habitat, high turnover is likely attributed to the continuous stochastic dispersal and extinction, </w:t>
      </w:r>
      <w:r w:rsidR="002E26CD">
        <w:rPr>
          <w:rFonts w:ascii="Times New Roman" w:hAnsi="Times New Roman" w:cs="Times New Roman"/>
        </w:rPr>
        <w:t>with weaker effects of</w:t>
      </w:r>
      <w:r w:rsidRPr="005E32F5">
        <w:rPr>
          <w:rFonts w:ascii="Times New Roman" w:hAnsi="Times New Roman" w:cs="Times New Roman"/>
        </w:rPr>
        <w:t xml:space="preserve"> host physiology and microbial interactions. </w:t>
      </w:r>
    </w:p>
    <w:p w14:paraId="731FD90A" w14:textId="79D22DCF" w:rsidR="002F0DCF" w:rsidRPr="005E32F5" w:rsidRDefault="002E26CD" w:rsidP="00D24CDA">
      <w:pPr>
        <w:spacing w:line="360" w:lineRule="auto"/>
        <w:ind w:firstLine="720"/>
        <w:rPr>
          <w:rFonts w:ascii="Times New Roman" w:hAnsi="Times New Roman" w:cs="Times New Roman"/>
        </w:rPr>
      </w:pPr>
      <w:r>
        <w:rPr>
          <w:rFonts w:ascii="Times New Roman" w:hAnsi="Times New Roman" w:cs="Times New Roman"/>
        </w:rPr>
        <w:t>T</w:t>
      </w:r>
      <w:r w:rsidR="002F0DCF" w:rsidRPr="005E32F5">
        <w:rPr>
          <w:rFonts w:ascii="Times New Roman" w:hAnsi="Times New Roman" w:cs="Times New Roman"/>
        </w:rPr>
        <w:t xml:space="preserve">he biphasic lifestyle of amphibians exposes them to aquatic and terrestrial reservoirs with significantly different compositions that are reflected in skin-associated microbial communities at small scales </w:t>
      </w:r>
      <w:r w:rsidR="002F0DCF"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{"citationID":"PqU9xRES","properties":{"formattedCitation":"(A. J. Douglas et al., 2020)","plainCitation":"(A. J. Douglas et al., 2020)","noteIndex":0},"citationItems":[{"id":"aW8cvW4I/YM0tXChW","uris":["http://zotero.org/users/6401767/items/VEUBWDN5"],"itemData":{"id":173,"type":"article-journal","abstract":"&lt;h3&gt;Abstract&lt;/h3&gt; &lt;p&gt;While a number of amphibian microbiomes have been characterized, it is unclear how microbial communities might vary in response to seasonal changes in the environment and the behaviors which many amphibians exhibit. Given recent studies demonstrating the importance of the skin microbiome in frog innate immune defenses against pathogens, investigating how changes in the environment impact the microbial species present, and thus their potential contribution to skin host defense, will provide a better understanding of conditions that may alter host susceptibility to pathogens in their environment. We sampled the skin microbiome of North American wood frogs (&lt;i&gt;Rana sylvatica&lt;/i&gt;) from two breeding ponds in the spring, along with the microbial community present in their vernal breeding pools, and frogs from the nearby forest floor in the summer and fall to determine whether the microbial composition differs by sex, vernal pond site, or temporally across season (spring, summer, fall). Taxon abundance data reveals a profile of bacterial phyla similar to those previously described on anuran skin, with Proteobacteria, Bacteroidetes, and Actinobacteria dominating the wood frog skin microbiome. Our results indicate that sex had no significant effect on skin microbiota diversity, however, this may be due to our limited female sample size. Vernal pool site had a small but significant effect on skin microbiota, but skin-associated communities were more similar to each other than to the communities observed in the frogs’ respective pond water. Across seasons, diversity analyses suggest there are significant differences between the skin microbiome of frogs from spring and summer/fall groups while the average α-diversity per frog remained consistent. Bacterial genera known to have antifungal properties such as &lt;i&gt;Pseudomonas&lt;/i&gt; spp. and &lt;i&gt;Rhizobium&lt;/i&gt; spp. were prevalent, and several were considered core microbiota during at least one season. These results illustrate seasonal variation in wood frog skin microbiome structure and highlight the importance of considering temporal trends in an amphibian microbiome, particularly for species whose life history requires recurrent shifts in habitat and behavior.&lt;/p&gt;","container-title":"bioRxiv","DOI":"10.1101/2020.01.28.921544","language":"en","license":"© 2020, Posted by Cold Spring Harbor Laboratory. This pre-print is available under a Creative Commons License (Attribution-NonCommercial-NoDerivs 4.0 International), CC BY-NC-ND 4.0, as described at http://creativecommons.org/licenses/by-nc-nd/4.0/","note":"publisher: Cold Spring Harbor Laboratory\nsection: New Results","page":"2020.01.28.921544","source":"www.biorxiv.org","title":"Composition of the North American wood frog (Rana sylvatica) skin microbiome and seasonal variation in community structure","author":[{"family":"Douglas","given":"Alexander J."},{"family":"Hug","given":"Laura A."},{"family":"Katzenback","given":"Barbara A."}],"issued":{"date-parts":[["2020",1,29]]}}}],"schema":"https://github.com/citation-style-language/schema/raw/master/csl-citation.json"} </w:instrText>
      </w:r>
      <w:r w:rsidR="002F0DCF" w:rsidRPr="005E32F5">
        <w:rPr>
          <w:rFonts w:ascii="Times New Roman" w:hAnsi="Times New Roman" w:cs="Times New Roman"/>
        </w:rPr>
        <w:fldChar w:fldCharType="separate"/>
      </w:r>
      <w:r w:rsidR="004D2321">
        <w:rPr>
          <w:rFonts w:ascii="Times New Roman" w:hAnsi="Times New Roman" w:cs="Times New Roman"/>
          <w:noProof/>
        </w:rPr>
        <w:t>(A. J. Douglas et al., 2020)</w:t>
      </w:r>
      <w:r w:rsidR="002F0DCF" w:rsidRPr="005E32F5">
        <w:rPr>
          <w:rFonts w:ascii="Times New Roman" w:hAnsi="Times New Roman" w:cs="Times New Roman"/>
        </w:rPr>
        <w:fldChar w:fldCharType="end"/>
      </w:r>
      <w:r w:rsidR="002F0DCF" w:rsidRPr="005E32F5">
        <w:rPr>
          <w:rFonts w:ascii="Times New Roman" w:hAnsi="Times New Roman" w:cs="Times New Roman"/>
        </w:rPr>
        <w:t xml:space="preserve">. Habitat changes often coincide with phenology, particularly courtship, mating, metamorphosis, or overwintering, which are also linked to changes in skin physiology (e.g., ion regulation or desiccation resistance) and secretory products on the skin </w:t>
      </w:r>
      <w:r w:rsidR="002F0DCF"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{"citationID":"wbpYA8ej","properties":{"formattedCitation":"(Duellman &amp; Trueb, 1994; Le Sage et al., 2021; Wells, 2010)","plainCitation":"(Duellman &amp; Trueb, 1994; Le Sage et al., 2021; Wells, 2010)","noteIndex":0},"citationItems":[{"id":90,"uris":["http://zotero.org/users/6401767/items/FZZR8N6G"],"itemData":{"id":90,"type":"book","abstract":"Consisting of more than six thousand species, amphibians are more diverse than mammals and are found on every continent save Antarctica. Despite the abundance and diversity of these animals, many aspects of the biology of amphibians remain unstudied or misunderstood. The Ecology and Behavior of Amphibians aims to fill this gap in the literature on this remarkable taxon. It is a celebration of the diversity of amphibian life and the ecological and behavioral adaptations that have made it a successful component of terrestrial and aquatic ecosystems.  Synthesizing seventy years of research on amphibian biology, Kentwood D. Wells addresses all major areas of inquiry, including phylogeny, classification, and morphology; aspects of physiological ecology such as water and temperature relations, respiration, metabolism, and energetics; movements and orientation; communication and social behavior; reproduction and parental care; ecology and behavior of amphibian larvae and ecological aspects of metamorphosis; ecological impact of predation on amphibian populations and antipredator defenses; and aspects of amphibian community ecology. With an eye towards modern concerns, The Ecology and Behavior of Amphibians concludes with a chapter devoted to amphibian conservation.  An unprecedented scholarly contribution to amphibian biology, this book is eagerly anticipated among specialists.","ISBN":"978-0-226-89333-4","language":"en","note":"Google-Books-ID: eDKEKy5JJbIC","number-of-pages":"1162","publisher":"University of Chicago Press","source":"Google Books","title":"The Ecology and Behavior of Amphibians","author":[{"family":"Wells","given":"Kentwood D."}],"issued":{"date-parts":[["2010",2,15]]}}},{"id":25,"uris":["http://zotero.org/users/6401767/items/7SU7EINQ"],"itemData":{"id":25,"type":"book","event-place":"Baltimore","ISBN":"978-0-07-017977-6","language":"en","note":"Google-Books-ID: dSkWAQAAIAAJ","number-of-pages":"738","publisher":"Johns Hopkins University Press","publisher-place":"Baltimore","title":"Biology of Amphibians","author":[{"family":"Duellman","given":"William Edward"},{"family":"Trueb","given":"Linda"}],"issued":{"date-parts":[["1994"]]}}},{"id":273,"uris":["http://zotero.org/users/6401767/items/VKRCI4YJ"],"itemData":{"id":273,"type":"article-journal","abstract":"Accurately predicting the impacts of climate change on wildlife health requires a deeper understanding of seasonal rhythms in host–pathogen interactions. The amphibian pathogen, Batrachochytrium dendrobatidis (Bd), exhibits seasonality in incidence; however, the role that biological rhythms in host defences play in defining this pattern remains largely unknown. The aim of this study was to examine whether host immune and microbiome defences against Bd correspond with infection risk and seasonal fluctuations in temperature and humidity. Over the course of a year, five populations of Southern leopard frogs (Rana [Lithobates] sphenocephala) in Tennessee, United States, were surveyed for host immunity, microbiome and pathogen dynamics. Frogs were swabbed for pathogen load and skin bacterial diversity and stimulated to release stored antimicrobial peptides (AMPs). Secretions were analysed to estimate total hydrophobic peptide concentrations, presence of known AMPs and effectiveness of Bd growth inhibition in vitro. The diversity and proportion of bacterial reads with a 99% match to sequences of isolates known to inhibit Bd growth in vitro were used as an estimate of predicted anti-Bd function of the skin microbiome. Batrachochytrium dendrobatidis dynamics followed the expected seasonal fluctuations—peaks in cooler months—which coincided with when host mucosal defences were most potent against Bd. Specifically, the concentration and expression of stored AMPs cycled synchronously with Bd dynamics. Although microbiome changes followed more linear trends over time, the proportion of bacteria that can function to inhibit Bd growth was greatest when risk of Bd infection was highest. We interpret the increase in peptide storage in the fall and the shift to a more anti-Bd microbiome over winter as a preparatory response for subsequent infection risk during the colder periods when AMP synthesis and bacterial growth is slow and pathogen pressure from this cool-adapted fungus is high. Given that a decrease in stored AMP concentrations as temperatures warm in spring likely means greater secretion rates, the subsequent decrease in prevalence suggests seasonality of Bd in this host may be in part regulated by annual immune rhythms, and dominated by the effects of temperature.","container-title":"Journal of Animal Ecology","DOI":"10.1111/1365-2656.13386","ISSN":"1365-2656","issue":"2","language":"en","note":"_eprint: https://onlinelibrary.wiley.com/doi/pdf/10.1111/1365-2656.13386","page":"542-554","source":"Wiley Online Library","title":"Preparatory immunity: Seasonality of mucosal skin defences and Batrachochytrium infections in Southern leopard frogs","title-short":"Preparatory immunity","volume":"90","author":[{"family":"Le Sage","given":"Emily H."},{"family":"LaBumbard","given":"Brandon C."},{"family":"Reinert","given":"Laura K."},{"family":"Miller","given":"Brian T."},{"family":"Richards-Zawacki","given":"Corinne L."},{"family":"Woodhams","given":"Doug C."},{"family":"Rollins-Smith","given":"Louise A."}],"issued":{"date-parts":[["2021"]]}}}],"schema":"https://github.com/citation-style-language/schema/raw/master/csl-citation.json"} </w:instrText>
      </w:r>
      <w:r w:rsidR="002F0DCF" w:rsidRPr="005E32F5">
        <w:rPr>
          <w:rFonts w:ascii="Times New Roman" w:hAnsi="Times New Roman" w:cs="Times New Roman"/>
        </w:rPr>
        <w:fldChar w:fldCharType="separate"/>
      </w:r>
      <w:r w:rsidR="004D2321">
        <w:rPr>
          <w:rFonts w:ascii="Times New Roman" w:hAnsi="Times New Roman" w:cs="Times New Roman"/>
        </w:rPr>
        <w:t>(Duellman &amp; Trueb, 1994; Le Sage et al., 2021; Wells, 2010)</w:t>
      </w:r>
      <w:r w:rsidR="002F0DCF" w:rsidRPr="005E32F5">
        <w:rPr>
          <w:rFonts w:ascii="Times New Roman" w:hAnsi="Times New Roman" w:cs="Times New Roman"/>
        </w:rPr>
        <w:fldChar w:fldCharType="end"/>
      </w:r>
      <w:r w:rsidR="002F0DCF" w:rsidRPr="005E32F5">
        <w:rPr>
          <w:rFonts w:ascii="Times New Roman" w:hAnsi="Times New Roman" w:cs="Times New Roman"/>
        </w:rPr>
        <w:t xml:space="preserve">. The amphibian skin serves as a landscape for symbiotic interactions, meaning subtle changes in skin chemistry could alter nutrient availability on hosts </w:t>
      </w:r>
      <w:r w:rsidR="002F0DCF"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{"citationID":"Ze4AqM2E","properties":{"formattedCitation":"(Hern\\uc0\\u225{}ndez-G\\uc0\\u243{}mez &amp; Hua, 2023; Krynak et al., 2016; Varga et al., 2019; Woodhams et al., 2023b)","plainCitation":"(Hernández-Gómez &amp; Hua, 2023; Krynak et al., 2016; Varga et al., 2019; Woodhams et al., 2023b)","noteIndex":0},"citationItems":[{"id":1784,"uris":["http://zotero.org/users/6401767/items/7U78BAEK"],"itemData":{"id":1784,"type":"article-journal","abstract":"Due to ease of global transportation, disease threats to amphibians are expected to increase. Therefore it is crucial that we improve our understanding of factors which may depress disease resistance so that we can incorporate this information into long-term conservation planning. Amphibians are protected from disease-causing pathogens by two skin-associated immune defense traits: the skin microbiome and the antimicrobial peptides found within natural peptide secretions (NPS) produced by the skin. Particular environmental characteristics may alter these amphibian immune defense traits and potentially affect disease resistance. We surveyed the skin-associated microbial communities (microbiome) and natural peptide secretions (NPS) of Blanchard's cricket frogs (Acris blanchardi), at each of eleven sites across the species' declining range. We utilized an AICc model selection and model averaging approach to test for potential environmental inﬂuence on these traits. We found that populations differed in microbiomes and NPS production, but not NPS bioactivity against Bd (Batrachochytrium dendrobatidis). The microbiome was associated with water conductivity, ratio of natural to managed land, and latitude. Additionally the microbiome was affected by interactions between frog sex and latitude, between frog sex and water surface area, and between the ratio of natural to managed land and water surface area. NPS production was inﬂuenced by an interaction between water surface area and conductivity. We found no evidence that NPS inﬂuence the microbiome; however, Bd growth rate in culture was positively associated with NPS production. This study indicates that environmental characteristics inﬂuence amphibian immune defense traits and may explain population differences in pathogen resistance.","container-title":"Biological Conservation","DOI":"10.1016/j.biocon.2015.11.019","ISSN":"00063207","journalAbbreviation":"Biological Conservation","language":"en","page":"153-167","source":"DOI.org (Crossref)","title":"Landscape and water characteristics correlate with immune defense traits across Blanchard's cricket frog (Acris blanchardi) populations","volume":"193","author":[{"family":"Krynak","given":"Katherine L."},{"family":"Burke","given":"David J."},{"family":"Benard","given":"Michael F."}],"issued":{"date-parts":[["2016",1]]}}},{"id":1780,"uris":["http://zotero.org/users/6401767/items/HXI2SSAR"],"itemData":{"id":1780,"type":"article-journal","abstract":"This review summarizes the role of environmental factors on amphibian microbiotas at the organismal, population, community, ecosystem, and biosphere levels. At the organismal-level, tissue source, disease status, and experimental manipulations were the strongest predictors of variation in amphibian microbiotas. At the population-level, habitat quality, disease status, and ancestry were commonly documented as drivers of microbiota turnover. At the community-level, studies focused on how species’ niche influence microbiota structure and function. At the ecosystem-level, abiotic and biotic reservoirs were important contributors to microbiota structure. At the biosphere-level, databases, sample banks, and seminatural experiments were commonly used to describe microbiota assembly mechanisms among temperate and tropical amphibians. Collectively, our review demonstrates that environmental factors can influence microbiotas through diverse mechanisms at all biological scales. Importantly, while environmental mechanisms occurring at each of the different scales can interact to shape microbiotas, the past 10 years of research have mostly been characterized by targeted approaches at individual scales. Looking forward, efforts considering how environmental factors at multiple organizational levels interact to shape microbiota diversity and function are paramount. Generating opportunities for meaningful cross-disciplinary interactions and supporting infrastructure for research that spans biological scales are imperative to addressing this gap.","container-title":"FEMS Microbiology Reviews","DOI":"10.1093/femsre/fuad002","ISSN":"0168-6445","issue":"1","journalAbbreviation":"FEMS Microbiology Reviews","page":"fuad002","source":"Silverchair","title":"From the organismal to biosphere levels: environmental impacts on the amphibian microbiota","title-short":"From the organismal to biosphere levels","volume":"47","author":[{"family":"Hernández-Gómez","given":"Obed"},{"family":"Hua","given":"Jessica"}],"issued":{"date-parts":[["2023",1,1]]}}},{"id":106,"uris":["http://zotero.org/users/6401767/items/B2Z3WBI6"],"itemData":{"id":106,"type":"article-journal","abstract":"Amphibian skin is a mucosal surface in direct and continuous contact with a microbially diverse and laden aquatic and/or terrestrial environment. As such, frog skin is an important innate immune organ and first line of defence against pathogens in the environment. Critical to the innate immune functions of frog skin are the maintenance of physical, chemical, cellular and microbiological barriers and the complex network of interactions that occur across all the barriers. Despite the global decline in amphibian populations, largely as a result of emerging infectious diseases, we understand little regarding the cellular and molecular mechanisms that underlie the innate immune function of amphibian skin and defence against pathogens. In this review, we will discuss the structure, cell composition and cellular junctions that contribute to the skin physical barrier, the antimicrobial peptide arsenal that, in part, comprises the chemical barrier, the pattern recognition receptors involved in recognizing pathogens and initiating innate immune responses in the skin, and the contribution of commensal microbes on the skin to pathogen defence. We briefly discuss the influence of environmental abiotic factors (natural and anthropogenic) and pathogens on the immunocompetency of frog skin defences. Although some aspects of frog innate immunity, such as antimicrobial peptides are well studied; other components and how they contribute to the skin innate immune barrier, are lacking. Elucidating the complex network of interactions occurring at the interface of the frog’s external and internal environments will yield more insight into the crucial role amphibian skin plays in host defence and the environment factors leading to compromised barrier integrity, disease, and host mortality.","container-title":"Frontiers in Immunology","DOI":"10.3389/fimmu.2018.03128","ISSN":"1664-3224","journalAbbreviation":"Front. Immunol.","language":"English","note":"publisher: Frontiers","source":"Frontiers","title":"Frog Skin Innate Immune Defences: Sensing and Surviving Pathogens","title-short":"Frog Skin Innate Immune Defences","URL":"https://www.frontiersin.org/articles/10.3389/fimmu.2018.03128/full","volume":"9","author":[{"family":"Varga","given":"Joseph F. A."},{"family":"Bui-Marinos","given":"Maxwell P."},{"family":"Katzenback","given":"Barbara A."}],"accessed":{"date-parts":[["2020",8,10]]},"issued":{"date-parts":[["2019"]]}}},{"id":33,"uris":["http://zotero.org/users/6401767/items/5R3FLMJK"],"itemData":{"id":33,"type":"article-journal","abstract":"The microbiome is known to provide benefits to hosts, including extension of immune function. Amphibians are a powerful immunological model for examining mucosal defenses because of an accessible epithelial mucosome throughout their developmental trajectory, their responsiveness to experimental treatments, and direct in­ teractions with emerging infectious pathogens. We review amphibian skin mucus components and describe the adaptive microbiome as a novel process of disease resilience where competitive microbial interactions couple with host immune responses to select for functions beneficial to the host. We demonstrate microbiome diversity, specificity of function, and mechanisms for memory characteristic of an adaptive immune response. At a time when industrialization has been linked to losses in microbiota important for host health, applications of mi­ crobial therapies such as probiotics may contribute to immunotherapeutics and to conservation efforts for species currently threatened by emerging diseases.","container-title":"Developmental &amp; Comparative Immunology","DOI":"10.1016/j.dci.2023.104690","ISSN":"0145305X","journalAbbreviation":"Developmental &amp; Comparative Immunology","language":"en","page":"104690","source":"DOI.org (Crossref)","title":"The adaptive microbiome hypothesis and immune interactions in amphibian mucus","volume":"145","author":[{"family":"Woodhams","given":"Douglas C."},{"family":"McCartney","given":"Julia"},{"family":"Walke","given":"Jenifer B."},{"family":"Whetstone","given":"Ross"}],"issued":{"date-parts":[["2023",8]]}}}],"schema":"https://github.com/citation-style-language/schema/raw/master/csl-citation.json"} </w:instrText>
      </w:r>
      <w:r w:rsidR="002F0DCF" w:rsidRPr="005E32F5">
        <w:rPr>
          <w:rFonts w:ascii="Times New Roman" w:hAnsi="Times New Roman" w:cs="Times New Roman"/>
        </w:rPr>
        <w:fldChar w:fldCharType="separate"/>
      </w:r>
      <w:r w:rsidR="004D2321" w:rsidRPr="004D2321">
        <w:rPr>
          <w:rFonts w:ascii="Times New Roman" w:hAnsi="Times New Roman" w:cs="Times New Roman"/>
        </w:rPr>
        <w:t>(Hernández-Gómez &amp; Hua, 2023; Krynak et al., 2016; Varga et al., 2019; Woodhams et al., 2023b)</w:t>
      </w:r>
      <w:r w:rsidR="002F0DCF" w:rsidRPr="005E32F5">
        <w:rPr>
          <w:rFonts w:ascii="Times New Roman" w:hAnsi="Times New Roman" w:cs="Times New Roman"/>
        </w:rPr>
        <w:fldChar w:fldCharType="end"/>
      </w:r>
      <w:r w:rsidR="002F0DCF" w:rsidRPr="005E32F5">
        <w:rPr>
          <w:rFonts w:ascii="Times New Roman" w:hAnsi="Times New Roman" w:cs="Times New Roman"/>
        </w:rPr>
        <w:t xml:space="preserve">. As such, biphasic transitions likely result in disturbance events for host-associated communities by changing both the immigrant pool and nutrient availability supplied by hosts </w:t>
      </w:r>
      <w:r w:rsidR="002F0DCF"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{"citationID":"XBhAT4wC","properties":{"formattedCitation":"(Bletz, Perl, Bobowski, et al., 2017; L. Xu et al., 2020)","plainCitation":"(Bletz, Perl, Bobowski, et al., 2017; L. Xu et al., 2020)","noteIndex":0},"citationItems":[{"id":459,"uris":["http://zotero.org/users/6401767/items/Q7YRD9LS"],"itemData":{"id":459,"type":"article-journal","abstract":"Host-associated microbiomes are increasingly recognized to contribute to host disease resistance; the temporal dynamics of their community structure and function, however, are poorly understood. We investigated the cutaneous bacterial communities of three newt species, Ichthyosaura alpestris, Lissotriton vulgaris and Triturus cristatus, at approximately weekly intervals for 3 months using 16S ribosomal RNA amplicon sequencing. We hypothesized cutaneous microbiota would vary across time, and that such variation would be linked to changes in predicted fungal-inhibitory function. We observed significant temporal variation within the aquatic phase, and also between aquatic and terrestrial phase newts. By keeping T. cristatus in mesocosms, we demonstrated that structural changes occurred similarly across individuals, highlighting the non-stochastic nature of the bacterial community succession. Temporal changes were mainly associated with fluctuations in relative abundance rather than full turnover of bacterial operational taxonomic units (OTUs). Newt skin microbe fluctuations were not correlated with that of pond microbiota; however, a portion of community variation was explained by environmental temperature. Using a database of amphibian skin bacteria that inhibit the pathogen Batrachochytrium dendrobatidis (Bd), we found that the proportion of reads associated with ‘potentially’ Bd-inhibitory OTUs did not vary temporally for two of three newt species, suggesting that protective function may be maintained despite temporal variation in community structure.","container-title":"The ISME Journal","DOI":"10.1038/ismej.2017.41","ISSN":"1751-7370","issue":"7","language":"en","license":"2017 International Society for Microbial Ecology","note":"number: 7\npublisher: Nature Publishing Group","page":"1521-1534","source":"www.nature.com","title":"Amphibian skin microbiota exhibits temporal variation in community structure but stability of predicted Bd -inhibitory function","volume":"11","author":[{"family":"Bletz","given":"Molly C."},{"family":"Perl","given":"R. G. Bina"},{"family":"Bobowski","given":"Bianca TC"},{"family":"Japke","given":"Laura M."},{"family":"Tebbe","given":"Christoph C."},{"family":"Dohrmann","given":"Anja B."},{"family":"Bhuju","given":"Sabin"},{"family":"Geffers","given":"Robert"},{"family":"Jarek","given":"Michael"},{"family":"Vences","given":"Miguel"}],"issued":{"date-parts":[["2017",7]]}}},{"id":250,"uris":["http://zotero.org/users/6401767/items/USH2M6JU"],"itemData":{"id":250,"type":"article-journal","container-title":"mSystems","DOI":"https://doi.org/10.1128/ mSystems.00626-20.","ISSN":"1662-8128","journalAbbreviation":"mSystems","language":"eng","note":"PMID: 22222876\nPMCID: PMC6741532","source":"PubMed","title":"The Behavior of Amphibians Shapes Their Symbiotic Microbiomes","volume":"5","author":[{"family":"Xu","given":"Liangliang"},{"family":"Xiang","given":"Mengmeng"},{"family":"Zhu","given":"Wei"},{"family":"Zhang","given":"Mengjie"},{"family":"Chen","given":"Hua"},{"family":"Huang","given":"Jin"},{"family":"Chen","given":"Youhua"},{"family":"Chang","given":"Qing"},{"family":"Jiang","given":"Jianping"},{"family":"Zhu","given":"Lifeng"}],"issued":{"date-parts":[["2020"]]}}}],"schema":"https://github.com/citation-style-language/schema/raw/master/csl-citation.json"} </w:instrText>
      </w:r>
      <w:r w:rsidR="002F0DCF" w:rsidRPr="005E32F5">
        <w:rPr>
          <w:rFonts w:ascii="Times New Roman" w:hAnsi="Times New Roman" w:cs="Times New Roman"/>
        </w:rPr>
        <w:fldChar w:fldCharType="separate"/>
      </w:r>
      <w:r w:rsidR="004D2321">
        <w:rPr>
          <w:rFonts w:ascii="Times New Roman" w:hAnsi="Times New Roman" w:cs="Times New Roman"/>
          <w:noProof/>
        </w:rPr>
        <w:t>(Bletz, Perl, Bobowski, et al., 2017; L. Xu et al., 2020)</w:t>
      </w:r>
      <w:r w:rsidR="002F0DCF" w:rsidRPr="005E32F5">
        <w:rPr>
          <w:rFonts w:ascii="Times New Roman" w:hAnsi="Times New Roman" w:cs="Times New Roman"/>
        </w:rPr>
        <w:fldChar w:fldCharType="end"/>
      </w:r>
      <w:r w:rsidR="002F0DCF" w:rsidRPr="005E32F5">
        <w:rPr>
          <w:rFonts w:ascii="Times New Roman" w:hAnsi="Times New Roman" w:cs="Times New Roman"/>
        </w:rPr>
        <w:t>. Microbial turnover during phenological habitat shifts, in tandem with host physiological changes, is predicted to be greater than fluctuations within a single habitat over time. Here we describe seasonal changes in salamander skin microbiomes as the hosts move between aquatic and terrestrial habitats to evaluate the effect of the environment on skin assemblages. We test whether a non-random component of the microbiome remains constant across the environmental transition, with particular attention to symbionts with potential defensive function against fungal pathogens.</w:t>
      </w:r>
    </w:p>
    <w:p w14:paraId="27D651D7" w14:textId="7E2F2B67"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Attention towards a ‘core’ microbiome has increased since 2007, when the launch of the Human Microbiome Project included a hunt for a ‘core’ microbiome- a group of microbial taxa/genes shared by most humans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{"citationID":"NTfvsnlZ","properties":{"formattedCitation":"(Turnbaugh et al., 2007)","plainCitation":"(Turnbaugh et al., 2007)","noteIndex":0},"citationItems":[{"id":249,"uris":["http://zotero.org/users/6401767/items/C2AGRSSM"],"itemData":{"id":249,"type":"article-journal","abstract":"A strategy to understand the microbial components of the human genetic and metabolic landscape and how they contribute to normal physiology and predisposition to disease.","container-title":"Nature","DOI":"10.1038/nature06244","ISSN":"1476-4687","issue":"7164","language":"en","license":"2007 Nature Publishing Group","note":"number: 7164\npublisher: Nature Publishing Group","page":"804-810","source":"www.nature.com","title":"The Human Microbiome Project","volume":"449","author":[{"family":"Turnbaugh","given":"Peter J."},{"family":"Ley","given":"Ruth E."},{"family":"Hamady","given":"Micah"},{"family":"Fraser-Liggett","given":"Claire M."},{"family":"Knight","given":"Rob"},{"family":"Gordon","given":"Jeffrey I."}],"issued":{"date-parts":[["2007",10]]}}}],"schema":"https://github.com/citation-style-language/schema/raw/master/csl-citation.json"}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(Turnbaugh et al., 2007)</w:t>
      </w:r>
      <w:r w:rsidRPr="005E32F5">
        <w:rPr>
          <w:rFonts w:ascii="Times New Roman" w:hAnsi="Times New Roman" w:cs="Times New Roman"/>
        </w:rPr>
        <w:fldChar w:fldCharType="end"/>
      </w:r>
      <w:r w:rsidRPr="005E32F5">
        <w:rPr>
          <w:rFonts w:ascii="Times New Roman" w:hAnsi="Times New Roman" w:cs="Times New Roman"/>
        </w:rPr>
        <w:t xml:space="preserve">. Ecologists readily adopted this concept, seeking to identify groups of microbes associated with host species. Implicit in the </w:t>
      </w:r>
      <w:r w:rsidRPr="005E32F5">
        <w:rPr>
          <w:rFonts w:ascii="Times New Roman" w:hAnsi="Times New Roman" w:cs="Times New Roman"/>
        </w:rPr>
        <w:lastRenderedPageBreak/>
        <w:t xml:space="preserve">concept is the notion that commonly detected, or more abundant taxa have important functional relationships with hosts. In some cases, this has been true, however, rare taxa can have profound consequences as well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{"citationID":"6wHPeFTI","properties":{"formattedCitation":"(Antwis et al., 2019)","plainCitation":"(Antwis et al., 2019)","noteIndex":0},"citationItems":[{"id":248,"uris":["http://zotero.org/users/6401767/items/RDW9QULZ"],"itemData":{"id":248,"type":"article-journal","abstract":"Host microbiomes play a role in hormone production and subsequent fertility in humans, but this is less well understood in non-model organisms. This is of particular relevance to species in zoo-based conservation breeding programmes, as relationships between host microbiome composition and reproductive output may allow for the development of microbial augmentation strategies to improve success. Here, we characterise faecal bacterial communities of breeding and non-breeding eastern black rhino (Diceros bicornis michaeli) using 16S rRNA gene amplicon sequencing and quantify progestagen and glucocorticoid metabolite concentrations through enzyme immunoassays to identify such relationships.","container-title":"Microbiome","DOI":"10.1186/s40168-019-0639-0","ISSN":"2049-2618","issue":"1","journalAbbreviation":"Microbiome","page":"27","source":"BioMed Central","title":"Rare gut microbiota associated with breeding success, hormone metabolites and ovarian cycle phase in the critically endangered eastern black rhino","volume":"7","author":[{"family":"Antwis","given":"Rachael E."},{"family":"Edwards","given":"Katie L."},{"family":"Unwin","given":"Bryony"},{"family":"Walker","given":"Susan L."},{"family":"Shultz","given":"Susanne"}],"issued":{"date-parts":[["2019",2,15]]}}}],"schema":"https://github.com/citation-style-language/schema/raw/master/csl-citation.json"}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(Antwis et al., 2019)</w:t>
      </w:r>
      <w:r w:rsidRPr="005E32F5">
        <w:rPr>
          <w:rFonts w:ascii="Times New Roman" w:hAnsi="Times New Roman" w:cs="Times New Roman"/>
        </w:rPr>
        <w:fldChar w:fldCharType="end"/>
      </w:r>
      <w:r w:rsidRPr="005E32F5">
        <w:rPr>
          <w:rFonts w:ascii="Times New Roman" w:hAnsi="Times New Roman" w:cs="Times New Roman"/>
        </w:rPr>
        <w:t xml:space="preserve">. Furthermore, microbes do not have to be a part of a ‘core’ microbiome (whatever the definition may be) for the host to receive benefits from either individual symbionts or the microbial consortium more broadly. And finally, commonly detected or abundant taxa might simply be those that are abundant in the external environment. In this sense, commonly detected taxa on hosts could reflect environmental reservoirs and thus do not necessarily represent positive, or tight associations with hosts. Thus, it is critical to evaluate skin-associated microbiomes in comparison to relevant free-living assemblages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{"citationID":"iiRNBA7F","properties":{"formattedCitation":"(Fitzpatrick &amp; Allison, 2014)","plainCitation":"(Fitzpatrick &amp; Allison, 2014)","noteIndex":0},"citationItems":[{"id":147,"uris":["http://zotero.org/users/6401767/items/SGZA38D6"],"itemData":{"id":147,"type":"article-journal","abstract":"Bacteria on salamander skin are not exactly the same as the bacteria on the logs they hide under, but the differences are surprisingly subtle.","container-title":"FEMS Microbiology Ecology","DOI":"10.1111/1574-6941.12314","ISSN":"0168-6496","issue":"3","journalAbbreviation":"FEMS Microbiol Ecol","language":"en","note":"publisher: Oxford Academic","page":"482-494","source":"academic.oup.com","title":"Similarity and differentiation between bacteria associated with skin of salamanders (Plethodon jordani) and free-living assemblages","volume":"88","author":[{"family":"Fitzpatrick","given":"Benjamin M."},{"family":"Allison","given":"Amanda L."}],"issued":{"date-parts":[["2014",6,1]]}}}],"schema":"https://github.com/citation-style-language/schema/raw/master/csl-citation.json"}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(Fitzpatrick &amp; Allison, 2014)</w:t>
      </w:r>
      <w:r w:rsidRPr="005E32F5">
        <w:rPr>
          <w:rFonts w:ascii="Times New Roman" w:hAnsi="Times New Roman" w:cs="Times New Roman"/>
        </w:rPr>
        <w:fldChar w:fldCharType="end"/>
      </w:r>
      <w:r w:rsidRPr="005E32F5">
        <w:rPr>
          <w:rFonts w:ascii="Times New Roman" w:hAnsi="Times New Roman" w:cs="Times New Roman"/>
        </w:rPr>
        <w:t xml:space="preserve">. In this study, we evaluate four definitions of the ‘core’ microbiome for salamander-associated communities by identifying common OTUs found within a given sampling period (common core), OTUs consistently detected within a site over the course of four sampling periods (temporal core), OTUs associated with anti-fungal capabilities (defense functional core), and OTUs showing high affinity for the host condition relative to environmental reservoirs (host-associated core). </w:t>
      </w:r>
    </w:p>
    <w:p w14:paraId="640E6CA9" w14:textId="14971A53"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The most researched contribution of amphibian-associated symbionts is the ability to inhibit the growth of fungal pathogens </w:t>
      </w:r>
      <w:r w:rsidRPr="005E32F5">
        <w:rPr>
          <w:rFonts w:ascii="Times New Roman" w:hAnsi="Times New Roman" w:cs="Times New Roman"/>
          <w:i/>
          <w:iCs/>
        </w:rPr>
        <w:t xml:space="preserve">Batrachochytrium </w:t>
      </w:r>
      <w:proofErr w:type="spellStart"/>
      <w:r w:rsidRPr="005E32F5">
        <w:rPr>
          <w:rFonts w:ascii="Times New Roman" w:hAnsi="Times New Roman" w:cs="Times New Roman"/>
          <w:i/>
          <w:iCs/>
        </w:rPr>
        <w:t>dendrobatidis</w:t>
      </w:r>
      <w:proofErr w:type="spellEnd"/>
      <w:r w:rsidRPr="005E32F5">
        <w:rPr>
          <w:rFonts w:ascii="Times New Roman" w:hAnsi="Times New Roman" w:cs="Times New Roman"/>
        </w:rPr>
        <w:t xml:space="preserve"> (Bd) and </w:t>
      </w:r>
      <w:r w:rsidRPr="005E32F5">
        <w:rPr>
          <w:rFonts w:ascii="Times New Roman" w:hAnsi="Times New Roman" w:cs="Times New Roman"/>
          <w:i/>
          <w:iCs/>
        </w:rPr>
        <w:t xml:space="preserve">Batrachochytrium </w:t>
      </w:r>
      <w:proofErr w:type="spellStart"/>
      <w:r w:rsidRPr="005E32F5">
        <w:rPr>
          <w:rFonts w:ascii="Times New Roman" w:hAnsi="Times New Roman" w:cs="Times New Roman"/>
          <w:i/>
          <w:iCs/>
        </w:rPr>
        <w:t>salamandrivorans</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Bsal</w:t>
      </w:r>
      <w:proofErr w:type="spellEnd"/>
      <w:r w:rsidRPr="005E32F5">
        <w:rPr>
          <w:rFonts w:ascii="Times New Roman" w:hAnsi="Times New Roman" w:cs="Times New Roman"/>
        </w:rPr>
        <w:t xml:space="preserve">) through secondary metabolites. These pathogens can have major impacts on amphibian survival, and the potential benefits of defensive symbiosis with antifungal bacteria could be enormous for the hosts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{"citationID":"GwzqkJfG","properties":{"formattedCitation":"(Harris et al., 2006, 2009)","plainCitation":"(Harris et al., 2006, 2009)","noteIndex":0},"citationItems":[{"id":95,"uris":["http://zotero.org/users/6401767/items/YP6DS34E"],"itemData":{"id":95,"type":"article-journal","abstract":"Emerging infectious diseases threaten human and wildlife populations. Altered ecological interactions between mutualistic microbes and hosts can result in disease, but an understanding of interactions between host, microbes and disease-causing organisms may lead to management strategies to affect disease outcomes. Many amphibian species in relatively pristine habitats are experiencing dramatic population declines and extinctions due to the skin disease chytridiomycosis, which is caused by the chytrid fungus Batrachochytrium dendrobatidis. Using a randomized, replicated experiment, we show that adding an antifungal bacterial species, Janthinobacterium lividum, found on several species of amphibians to the skins of the frog Rana muscosa prevented morbidity and mortality caused by the pathogen. The bacterial species produces the anti-chytrid metabolite violacein, which was found in much higher concentrations on frog skins in the treatments where J. lividum was added. Our results show that cutaneous microbes are a part of amphibians' innate immune system, the microbial community structure on frog skins is a determinant of disease outcome and altering microbial interactions on frog skins can prevent a lethal disease outcome. A bioaugmentation strategy may be an effective management tool to control chytridiomycosis in amphibian survival assurance colonies and in nature.","container-title":"The ISME Journal","DOI":"10.1038/ismej.2009.27","ISSN":"1751-7370","issue":"7","journalAbbreviation":"ISME J","language":"en","license":"2009 International Society for Microbial Ecology","note":"number: 7\npublisher: Nature Publishing Group","page":"818-824","source":"www.nature.com","title":"Skin microbes on frogs prevent morbidity and mortality caused by a lethal skin fungus","volume":"3","author":[{"family":"Harris","given":"Reid N."},{"family":"Brucker","given":"Robert M."},{"family":"Walke","given":"Jenifer B."},{"family":"Becker","given":"Matthew H."},{"family":"Schwantes","given":"Christian R."},{"family":"Flaherty","given":"Devon C."},{"family":"Lam","given":"Brianna A."},{"family":"Woodhams","given":"Douglas C."},{"family":"Briggs","given":"Cheryl J."},{"family":"Vredenburg","given":"Vance T."},{"family":"Minbiole","given":"Kevin P. C."}],"issued":{"date-parts":[["2009",7]]}}},{"id":96,"uris":["http://zotero.org/users/6401767/items/B64EXQ85"],"itemData":{"id":96,"type":"article-journal","abstract":"Population declines of amphibian species in many parts of the world are associated with a lethal fungal pathogen, Batrachochytrium dendrobatidis. Using laboratory challenge assays, we describe the inhibition of B. dendrobatidis by members of eight genera of bacteria isolated from the skin of two amphibian species that exhibit parental care behavior (Plethodon cinereus and Hemidactylium scutatum). We found that members of three genera of bacteria isolated from the skins of the salamander P. cinereus and members of seven genera isolated from the salamander H. scutatum inhibited the growth of B. dendrobatidis. Understanding how B. dendrobatidis interacts with an ecological community of cutaneous ﬂora may be important in explaining and preventing amphibian population declines.","container-title":"EcoHealth","DOI":"10.1007/s10393-005-0009-1","ISSN":"1612-9202, 1612-9210","issue":"1","journalAbbreviation":"EcoHealth","language":"en","page":"53-56","source":"DOI.org (Crossref)","title":"Amphibian Pathogen Batrachochytrium dendrobatidis Is Inhibited by the Cutaneous Bacteria of Amphibian Species","volume":"3","author":[{"family":"Harris","given":"Reid N."},{"family":"James","given":"Timothy Y."},{"family":"Lauer","given":"Antje"},{"family":"Simon","given":"Mary Alice"},{"family":"Patel","given":"Amit"}],"issued":{"date-parts":[["2006",3]]}}}],"schema":"https://github.com/citation-style-language/schema/raw/master/csl-citation.json"}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(Harris et al., 2006, 2009)</w:t>
      </w:r>
      <w:r w:rsidRPr="005E32F5">
        <w:rPr>
          <w:rFonts w:ascii="Times New Roman" w:hAnsi="Times New Roman" w:cs="Times New Roman"/>
        </w:rPr>
        <w:fldChar w:fldCharType="end"/>
      </w:r>
      <w:r w:rsidRPr="005E32F5">
        <w:rPr>
          <w:rFonts w:ascii="Times New Roman" w:hAnsi="Times New Roman" w:cs="Times New Roman"/>
        </w:rPr>
        <w:t xml:space="preserve">. Anti-fungal metabolites are not exclusive to amphibian symbionts but instead likely reflect an evolutionary arms race between competing bacteria and fungi in soils. As such, anti-chytrid capabilities are phylogenetically widespread and could be functionally redundant in amphibian-associated communities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{"citationID":"SJnmna9C","properties":{"formattedCitation":"(Barnes et al., 2020)","plainCitation":"(Barnes et al., 2020)","noteIndex":0},"citationItems":[{"id":174,"uris":["http://zotero.org/users/6401767/items/PL78WH5A"],"itemData":{"id":174,"type":"article-journal","abstract":"Variation in the microbiome among individual organisms may play a critical role in the relative susceptibility of those organisms to infection, disease and death. However, predicting microbiome function is difficult because of spatial and temporal variation in microbial diversity, and taxonomic diversity is not predictive of microbiome functional diversity. Addressing this issue may be particularly important when addressing pandemic diseases, such as the global amphibian die-off associated with Bd. Some of the most important factors in probiotic development for disease treatment are whether bacteria with desired function can be found on native amphibians in the local environment. To address this issue, we isolated, sequenced, and assayed the cutaneous bacterial communities of Plethodon cinereus along a gradient of land use change. Our results suggest that cutaneous community composition, but not overall diversity, change with changes in land use, but this does not correspond to significant change in Bd-inhibitory function. We found that Bd-inhibition is a functionally redundant trait, but that level of inhibition varies over phylogenetic, spatial, and temporal scales. This research provides further evidence for examining the whole microbial community, including biotic and abiotic interactions, when considering disease dynamics.","container-title":"Frontiers in Microbiology","DOI":"10.3389/fmicb.2020.00101","ISSN":"1664-302X","journalAbbreviation":"Front. Microbiol.","language":"English","note":"publisher: Frontiers","source":"Frontiers","title":"Predicting Microbiome Function Across Space Is Confounded by Strain-Level Differences and Functional Redundancy Across Taxa","URL":"https://www.frontiersin.org/articles/10.3389/fmicb.2020.00101/full","volume":"11","author":[{"family":"Barnes","given":"Elle M."},{"family":"Carter","given":"Erin L."},{"family":"Lewis","given":"J. D."}],"accessed":{"date-parts":[["2020",12,4]]},"issued":{"date-parts":[["2020"]]}}}],"schema":"https://github.com/citation-style-language/schema/raw/master/csl-citation.json"}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(Barnes et al., 2020)</w:t>
      </w:r>
      <w:r w:rsidRPr="005E32F5">
        <w:rPr>
          <w:rFonts w:ascii="Times New Roman" w:hAnsi="Times New Roman" w:cs="Times New Roman"/>
        </w:rPr>
        <w:fldChar w:fldCharType="end"/>
      </w:r>
      <w:r w:rsidRPr="005E32F5">
        <w:rPr>
          <w:rFonts w:ascii="Times New Roman" w:hAnsi="Times New Roman" w:cs="Times New Roman"/>
        </w:rPr>
        <w:t xml:space="preserve">. The acquisition of these symbionts is presumed to be environmental colonization followed by persistence on hosts, though there has been some evidence for vertical transmission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{"citationID":"P9LrfBdd","properties":{"formattedCitation":"(Kouete et al., 2023; Walke et al., 2011)","plainCitation":"(Kouete et al., 2023; Walke et al., 2011)","noteIndex":0},"citationItems":[{"id":122,"uris":["http://zotero.org/users/6401767/items/GXHS737H"],"itemData":{"id":122,"type":"article-journal","abstract":"Amphibian embryos are at risk of microbial infection. Here we find evidence that innate immune defenses, both antimicrobial skin peptides and mutualistic microbiota, of adult glass frogs, Hyalinobatrachium colymbiphyllum, can be transmitted to embryos deposited on leaves above rain forest streams in Panama and can inhibit the fungal pathogen Batrachochytrium dendrobatidis. Abstract in Spanish is available at http://www.blackwell-synergy.com/loi/btp.","container-title":"Biotropica","DOI":"10.1111/j.1744-7429.2011.00787.x","ISSN":"1744-7429","issue":"4","language":"en","license":"© 2011 The Author(s). Journal compilation © 2011 by The Association for Tropical Biology and Conservation","note":"_eprint: https://onlinelibrary.wiley.com/doi/pdf/10.1111/j.1744-7429.2011.00787.x","page":"396-400","source":"Wiley Online Library","title":"Social Immunity in Amphibians: Evidence for Vertical Transmission of Innate Defenses","title-short":"Social Immunity in Amphibians","volume":"43","author":[{"family":"Walke","given":"Jenifer B."},{"family":"Harris","given":"Reid N."},{"family":"Reinert","given":"Laura K."},{"family":"Rollins‐Smith","given":"Louise A."},{"family":"Woodhams","given":"Douglas C."}],"issued":{"date-parts":[["2011"]]}}},{"id":66,"uris":["http://zotero.org/users/6401767/items/CUSU7CYK"],"itemData":{"id":66,"type":"article-journal","abstract":"Our current understanding of vertebrate skin and gut microbiomes, and their vertical transmission, remains incomplete as major lineages and varied forms of parental care remain unexplored. The diverse and elaborate forms of parental care exhibited by amphibians constitute an ideal system to study microbe transmission, yet investigations of vertical transmission among frogs and salamanders have been inconclusive. In this study, we assess bacteria transmission in Herpele squalostoma, an oviparous direct-developing caecilian in which females obligately attend juveniles that feed on their mother’s skin (dermatophagy).","container-title":"Animal Microbiome","DOI":"10.1186/s42523-023-00243-x","ISSN":"2524-4671","issue":"1","journalAbbreviation":"Animal Microbiome","page":"28","source":"BioMed Central","title":"Parental care contributes to vertical transmission of microbes in a skin-feeding and direct-developing caecilian","volume":"5","author":[{"family":"Kouete","given":"Marcel T."},{"family":"Bletz","given":"Molly C."},{"family":"LaBumbard","given":"Brandon C."},{"family":"Woodhams","given":"Douglas C."},{"family":"Blackburn","given":"David C."}],"issued":{"date-parts":[["2023",5,15]]}}}],"schema":"https://github.com/citation-style-language/schema/raw/master/csl-citation.json"}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(Kouete et al., 2023; Walke et al., 2011)</w:t>
      </w:r>
      <w:r w:rsidRPr="005E32F5">
        <w:rPr>
          <w:rFonts w:ascii="Times New Roman" w:hAnsi="Times New Roman" w:cs="Times New Roman"/>
        </w:rPr>
        <w:fldChar w:fldCharType="end"/>
      </w:r>
      <w:r w:rsidRPr="005E32F5">
        <w:rPr>
          <w:rFonts w:ascii="Times New Roman" w:hAnsi="Times New Roman" w:cs="Times New Roman"/>
        </w:rPr>
        <w:t xml:space="preserve">. Importantly, certain defensive symbionts show persistence on amphibians in captivity and are resistant to host anti-microbial peptides, meaning that while defensive benefits could be widespread in nature, hosts might form reciprocal associations with a few species that can tolerate and supplement their own defensive arsenals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{"citationID":"DNHnASvc","properties":{"formattedCitation":"(Flechas et al., 2019; Loudon et al., 2016)","plainCitation":"(Flechas et al., 2019; Loudon et al., 2016)","noteIndex":0},"citationItems":[{"id":102,"uris":["http://zotero.org/users/6401767/items/TBGAK3AB"],"itemData":{"id":102,"type":"article-journal","abstract":"Skin bacterial communities can protect amphibians from a fungal pathogen; however, little is known about how these communities are maintained. We used a neutral model of community ecology to identify bacteria that are maintained on salamanders by selection or by dispersal from a bacterial reservoir (soil) and ecological drift. We found that 75% (9/12) of bacteria that were consistent with positive selection, &lt;1% of bacteria that were consistent with random dispersal and none of the bacteria that were consistent under negative selection had a 97% or greater match to antifungal isolates. Additionally we performed an experiment where salamanders were either provided or denied a bacterial reservoir and estimated immigration and loss (emigration and local extinction) rates of bacteria on salamanders in both treatments. Loss was strongly related to bacterial richness, suggesting competition is important for structuring the community. Bacteria closely related to antifungal isolates were more likely to persist on salamanders with or without a bacterial reservoir, suggesting they had a competitive advantage. Furthermore, over-represented and under-represented operational taxonomic units (OTUs) had similar persistence on salamanders when a bacterial reservoir was present. However, under-represented OTUs were less likely to persist in the absence of a bacterial reservoir, suggesting that the over-represented and under-represented bacteria were selected against or for on salamanders through time. Our ﬁndings from the neutral model, migration and persistence analyses show that bacteria that exhibit a high similarity to antifungal isolates persist on salamanders, which likely protect hosts against pathogens and improve ﬁtness. This research is one of the ﬁrst to apply ecological theory to investigate assembly of host associated-bacterial communities, which can provide insights for probiotic bioaugmentation as a conservation strategy against disease.","container-title":"Frontiers in Microbiology","DOI":"10.3389/fmicb.2016.00333","ISSN":"1664-302X","journalAbbreviation":"Front. Microbiol.","language":"en","source":"DOI.org (Crossref)","title":"Vertebrate Hosts as Islands: Dynamics of Selection, Immigration, Loss, Persistence, and Potential Function of Bacteria on Salamander Skin","title-short":"Vertebrate Hosts as Islands","URL":"http://journal.frontiersin.org/Article/10.3389/fmicb.2016.00333/abstract","volume":"7","author":[{"family":"Loudon","given":"Andrew H."},{"family":"Venkataraman","given":"Arvind"},{"family":"Van Treuren","given":"William"},{"family":"Woodhams","given":"Douglas C."},{"family":"Parfrey","given":"Laura Wegener"},{"family":"McKenzie","given":"Valerie J."},{"family":"Knight","given":"Rob"},{"family":"Schmidt","given":"Thomas M."},{"family":"Harris","given":"Reid N."}],"accessed":{"date-parts":[["2020",8,10]]},"issued":{"date-parts":[["2016",3,16]]}}},{"id":200,"uris":["http://zotero.org/users/6401767/items/5R2VQDVA"],"itemData":{"id":200,"type":"article-journal","abstract":"Management of hyper-virulent generalist pathogens is an emergent global challenge, yet for most disease systems we lack a basic understanding as to why some host species suffer mass mortalities, while others resist epizootics. We studied two sympatric species of frogs from the Colombian Andes, which coexist with the amphibian pathogen Batrachochytrium dendrobatidis (Bd), to understand why some species did not succumb to the infection. We found high Bd prevalence in juveniles for both species, yet infection intensities remained low. We also found that bacterial community composition and host defense peptides are speciﬁc to amphibian life stages. We detected abundant Bd-inhibitory skin bacteria across life stages and Bd-inhibitory defense peptides post-metamorphosis in both species. Bd-inhibitory bacteria were proportionally more abundant in adults of both species than in earlier developmental stages. We tested for activity of peptides against the skin microbiota and found that in general peptides did not negatively affect bacterial growth and in some instances facilitated growth. Our results suggest that symbiotic bacteria and antimicrobial peptides may be co-selected for, and that together they contribute to the ability of Andean amphibian species to coexist with the global pandemic lineage of Bd.","container-title":"The ISME Journal","DOI":"10.1038/s41396-018-0284-9","ISSN":"1751-7362, 1751-7370","issue":"2","journalAbbreviation":"ISME J","language":"en","page":"361-373","source":"DOI.org (Crossref)","title":"Microbiota and skin defense peptides may facilitate coexistence of two sympatric Andean frog species with a lethal pathogen","volume":"13","author":[{"family":"Flechas","given":"Sandra V."},{"family":"Acosta-González","given":"Alejandro"},{"family":"Escobar","given":"Laura A."},{"family":"Kueneman","given":"Jordan G."},{"family":"Sánchez-Quitian","given":"Zilpa Adriana"},{"family":"Parra-Giraldo","given":"Claudia M."},{"family":"Rollins-Smith","given":"Louise A."},{"family":"Reinert","given":"Laura K."},{"family":"Vredenburg","given":"Vance T."},{"family":"Amézquita","given":"Adolfo"},{"family":"Woodhams","given":"Douglas C."}],"issued":{"date-parts":[["2019",2]]}}}],"schema":"https://github.com/citation-style-language/schema/raw/master/csl-citation.json"}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(Flechas et al., 2019; Loudon et al., 2016)</w:t>
      </w:r>
      <w:r w:rsidRPr="005E32F5">
        <w:rPr>
          <w:rFonts w:ascii="Times New Roman" w:hAnsi="Times New Roman" w:cs="Times New Roman"/>
        </w:rPr>
        <w:fldChar w:fldCharType="end"/>
      </w:r>
      <w:r w:rsidRPr="005E32F5">
        <w:rPr>
          <w:rFonts w:ascii="Times New Roman" w:hAnsi="Times New Roman" w:cs="Times New Roman"/>
        </w:rPr>
        <w:t xml:space="preserve">. </w:t>
      </w:r>
    </w:p>
    <w:p w14:paraId="186B7B25" w14:textId="6AA31734"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i/>
          <w:iCs/>
        </w:rPr>
        <w:lastRenderedPageBreak/>
        <w:t xml:space="preserve">Eurycea </w:t>
      </w:r>
      <w:r w:rsidRPr="005E32F5">
        <w:rPr>
          <w:rFonts w:ascii="Times New Roman" w:hAnsi="Times New Roman" w:cs="Times New Roman"/>
        </w:rPr>
        <w:t>cf.</w:t>
      </w:r>
      <w:r w:rsidRPr="005E32F5">
        <w:rPr>
          <w:rFonts w:ascii="Times New Roman" w:hAnsi="Times New Roman" w:cs="Times New Roman"/>
          <w:i/>
          <w:iCs/>
        </w:rPr>
        <w:t xml:space="preserve"> </w:t>
      </w:r>
      <w:proofErr w:type="spellStart"/>
      <w:r w:rsidRPr="005E32F5">
        <w:rPr>
          <w:rFonts w:ascii="Times New Roman" w:hAnsi="Times New Roman" w:cs="Times New Roman"/>
          <w:i/>
          <w:iCs/>
        </w:rPr>
        <w:t>wilderae</w:t>
      </w:r>
      <w:proofErr w:type="spellEnd"/>
      <w:r w:rsidRPr="005E32F5">
        <w:rPr>
          <w:rFonts w:ascii="Times New Roman" w:hAnsi="Times New Roman" w:cs="Times New Roman"/>
          <w:i/>
          <w:iCs/>
        </w:rPr>
        <w:t xml:space="preserve"> </w:t>
      </w:r>
      <w:r w:rsidRPr="005E32F5">
        <w:rPr>
          <w:rFonts w:ascii="Times New Roman" w:hAnsi="Times New Roman" w:cs="Times New Roman"/>
        </w:rPr>
        <w:t xml:space="preserve">is a brook salamander occupying higher elevation, high-gradient streams and is a paraphyletic member of the </w:t>
      </w:r>
      <w:r w:rsidRPr="005E32F5">
        <w:rPr>
          <w:rFonts w:ascii="Times New Roman" w:hAnsi="Times New Roman" w:cs="Times New Roman"/>
          <w:i/>
          <w:iCs/>
        </w:rPr>
        <w:t xml:space="preserve">Eurycea </w:t>
      </w:r>
      <w:proofErr w:type="spellStart"/>
      <w:r w:rsidRPr="005E32F5">
        <w:rPr>
          <w:rFonts w:ascii="Times New Roman" w:hAnsi="Times New Roman" w:cs="Times New Roman"/>
          <w:i/>
          <w:iCs/>
        </w:rPr>
        <w:t>bislineata</w:t>
      </w:r>
      <w:proofErr w:type="spellEnd"/>
      <w:r w:rsidRPr="005E32F5">
        <w:rPr>
          <w:rFonts w:ascii="Times New Roman" w:hAnsi="Times New Roman" w:cs="Times New Roman"/>
        </w:rPr>
        <w:t xml:space="preserve"> species complex. While we refer to this species as </w:t>
      </w:r>
      <w:r w:rsidRPr="005E32F5">
        <w:rPr>
          <w:rFonts w:ascii="Times New Roman" w:hAnsi="Times New Roman" w:cs="Times New Roman"/>
          <w:i/>
          <w:iCs/>
        </w:rPr>
        <w:t xml:space="preserve">Eurycea </w:t>
      </w:r>
      <w:r w:rsidRPr="005E32F5">
        <w:rPr>
          <w:rFonts w:ascii="Times New Roman" w:hAnsi="Times New Roman" w:cs="Times New Roman"/>
        </w:rPr>
        <w:t xml:space="preserve">cf. </w:t>
      </w:r>
      <w:proofErr w:type="spellStart"/>
      <w:r w:rsidRPr="005E32F5">
        <w:rPr>
          <w:rFonts w:ascii="Times New Roman" w:hAnsi="Times New Roman" w:cs="Times New Roman"/>
          <w:i/>
          <w:iCs/>
        </w:rPr>
        <w:t>wilderae</w:t>
      </w:r>
      <w:proofErr w:type="spellEnd"/>
      <w:r w:rsidRPr="005E32F5">
        <w:rPr>
          <w:rFonts w:ascii="Times New Roman" w:hAnsi="Times New Roman" w:cs="Times New Roman"/>
        </w:rPr>
        <w:t xml:space="preserve">, the populations in our study area are part of a well-delimited but undescribed species in the Blue Ridge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{"citationID":"OcrVmGSp","properties":{"formattedCitation":"(Pierson et al., 2021, 2023)","plainCitation":"(Pierson et al., 2021, 2023)","noteIndex":0},"citationItems":[{"id":53,"uris":["http://zotero.org/users/6401767/items/BKBZFYYA"],"itemData":{"id":53,"type":"article-journal","abstract":"Contact zones present unique opportunities to investigate ecological divergence, reproductive barriers, and gene flow between species. The two-lined salamander (Eurycea bislineata) species complex is a group of semiaquatic plethodontid salamanders with a reticulate evolutionary history that reflects the reorganization of river drainage basins. Although evidence for widespread, ancient introgression suggests an absence of reproductive isolating mechanisms in the early evolutionary history of the group, modern contact zones reveal a broader diversity of outcomes—with some putative species pairs occurring in sympatry and others exhibiting narrow hybrid zones. Here, we used RADcap data to investigate gene flow and ecological divergence in replicate contact zones between two species in the Appalachian foothills. Our results demonstrate that gene flow between these species is absent or rare, and larvae show strong, fine-scale ecological segregation among riffles, runs, and pools in streams. These results reinforce the more ambiguous conclusions of previous studies that suggested the evolutionary distinctiveness of these two species and underscore the importance of ecological factors in shaping local distributions.","container-title":"Evolutionary Ecology","DOI":"10.1007/s10682-020-10099-1","ISSN":"1573-8477","issue":"2","journalAbbreviation":"Evol Ecol","language":"en","page":"309-322","source":"Springer Link","title":"Genetic data reveal fine-scale ecological segregation between larval plethodontid salamanders in replicate contact zones","volume":"35","author":[{"family":"Pierson","given":"Todd W."},{"family":"Fitzpatrick","given":"Benjamin M."},{"family":"Camp","given":"Carlos D."}],"issued":{"date-parts":[["2021",4,1]]}}},{"id":1785,"uris":["http://zotero.org/users/6401767/items/GEZQB3BM"],"itemData":{"id":1785,"type":"article-journal","abstract":"Abstract.—The origin and eventual loss of biogeographic barriers can create alternating periods of allopatry and secondary contact, facilitating gene flow among distinct metapopulations and generating reticulate evolutionary histories that are not adequately described by a bifurcating evolutionary tree. One such example may exist in the two-lined salamander (Eurycea bislineata) species complex, where discordance among morphological and molecular datasets has created a “vexing taxonomic challenge.” Previous phylogeographic analyses of mitochondrial DNA (mtDNA) suggested that the reorganization of Miocene paleodrainages drove vicariance and dispersal, but the inherent limitations of a single-locus dataset precluded the evaluation of subsequent gene flow. Here, we generate triple-enzyme restriction site-associated DNA sequencing (3RAD) data for &amp;gt; 100 individuals representing all major mtDNA lineages and use a suite of complementary methods to demonstrate that discordance among earlier datasets is best explained by a reticulate evolutionary history influenced by river drainage reorganization. Systematics of such groups should acknowledge these complex histories and relationships that are not strictly hierarchical. [Amphibian; hybridization; introgression; Plethodontidae; stream capture.]","container-title":"Systematic Biology","DOI":"10.1093/sysbio/syad064","ISSN":"1063-5157","journalAbbreviation":"Systematic Biology","page":"syad064","source":"Silverchair","title":"River Drainage Reorganization and Reticulate Evolution in the Two-Lined Salamander (Eurycea bislineata) Species Complex","author":[{"family":"Pierson","given":"Todd W"},{"family":"Kozak","given":"Kenneth H"},{"family":"Glenn","given":"Travis C"},{"family":"Fitzpatrick","given":"Benjamin M"}],"issued":{"date-parts":[["2023",10,25]]}}}],"schema":"https://github.com/citation-style-language/schema/raw/master/csl-citation.json"}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(Pierson et al., 2021, 2023)</w:t>
      </w:r>
      <w:r w:rsidRPr="005E32F5">
        <w:rPr>
          <w:rFonts w:ascii="Times New Roman" w:hAnsi="Times New Roman" w:cs="Times New Roman"/>
        </w:rPr>
        <w:fldChar w:fldCharType="end"/>
      </w:r>
      <w:r w:rsidRPr="005E32F5">
        <w:rPr>
          <w:rFonts w:ascii="Times New Roman" w:hAnsi="Times New Roman" w:cs="Times New Roman"/>
        </w:rPr>
        <w:t xml:space="preserve">. Salamanders in this complex utilize streams for overwintering and nesting while occupying terrestrial uplands and riparian zones from late spring until late fall. Individuals are observed in October/November moving from terrestrial areas into aquatic habitats, with courtship and mating occurring along the way. While this genus has shown low susceptibility to Bd (25 positive samples of 232 field swabs), </w:t>
      </w:r>
      <w:r w:rsidRPr="005E32F5">
        <w:rPr>
          <w:rFonts w:ascii="Times New Roman" w:hAnsi="Times New Roman" w:cs="Times New Roman"/>
          <w:i/>
          <w:iCs/>
        </w:rPr>
        <w:t>Eurycea</w:t>
      </w:r>
      <w:r w:rsidRPr="005E32F5">
        <w:rPr>
          <w:rFonts w:ascii="Times New Roman" w:hAnsi="Times New Roman" w:cs="Times New Roman"/>
        </w:rPr>
        <w:t xml:space="preserve"> is among the more susceptible Plethodontid genera to </w:t>
      </w:r>
      <w:proofErr w:type="spellStart"/>
      <w:r w:rsidRPr="005E32F5">
        <w:rPr>
          <w:rFonts w:ascii="Times New Roman" w:hAnsi="Times New Roman" w:cs="Times New Roman"/>
        </w:rPr>
        <w:t>Bsal</w:t>
      </w:r>
      <w:proofErr w:type="spellEnd"/>
      <w:r w:rsidRPr="005E32F5">
        <w:rPr>
          <w:rFonts w:ascii="Times New Roman" w:hAnsi="Times New Roman" w:cs="Times New Roman"/>
        </w:rPr>
        <w:t xml:space="preserve"> in lab experiments </w:t>
      </w:r>
      <w:r w:rsidRPr="005E32F5">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{"citationID":"Kdf5pPDz","properties":{"formattedCitation":"(Augustine &amp; Neff, 2016; Bauer et al., 2018; Carter et al., 2020; DiRenzo et al., 2021; Jongsma et al., 2019; Muletz et al., 2014)","plainCitation":"(Augustine &amp; Neff, 2016; Bauer et al., 2018; Carter et al., 2020; DiRenzo et al., 2021; Jongsma et al., 2019; Muletz et al., 2014)","noteIndex":0},"citationItems":[{"id":422,"uris":["http://zotero.org/users/6401767/items/RHAPD48Z"],"itemData":{"id":422,"type":"article-journal","abstract":"The emerging fungal pathogen, Batrachochytrium salamandrivorans (Bsal), is a significant conservation threat to salamander biodiversity in Europe, although its potential to affect North American species is poorly understood. We tested the susceptibility of two genera (Eurycea and Pseudotriton) and three populations of lungless salamanders (Plethodontidae) to Bsal. All species became infected with Bsal and two (Pseudotriton ruber and Eurycea wilderae) developed chytridiomycosis. We also documented that susceptibility of E. wilderae differed among populations. Regardless of susceptibility, all species reduced feeding when exposed to Bsal at the highest zoospore dose, and P. ruber and one population of E. wilderae used cover objects less. Our results indicate that Bsal invasion in eastern North America could have significant negative impacts on endemic lungless salamander populations. Future conservation efforts should include surveillance for Bsal in the wild and in captivity, and championing legislation that requires and subsidizes pathogen-free trade of amphibians.","container-title":"Conservation Letters","DOI":"10.1111/conl.12675","ISSN":"1755-263X","issue":"1","language":"en","note":"_eprint: https://onlinelibrary.wiley.com/doi/pdf/10.1111/conl.12675","page":"e12675","source":"Wiley Online Library","title":"Conservation risk of Batrachochytrium salamandrivorans to endemic lungless salamanders","volume":"13","author":[{"family":"Carter","given":"Edward Davis"},{"family":"Miller","given":"Debra L."},{"family":"Peterson","given":"Anna C."},{"family":"Sutton","given":"William B."},{"family":"Cusaac","given":"Joseph Patrick W."},{"family":"Spatz","given":"Jennifer A."},{"family":"Rollins-Smith","given":"Louise"},{"family":"Reinert","given":"Laura"},{"family":"Bohanon","given":"Markese"},{"family":"Williams","given":"Lori A."},{"family":"Upchurch","given":"Andrea"},{"family":"Gray","given":"Matthew J."}],"issued":{"date-parts":[["2020"]]}}},{"id":419,"uris":["http://zotero.org/users/6401767/items/PJ8W8DFU"],"itemData":{"id":419,"type":"article-journal","abstract":"Emerging infectious diseases are among the leading drivers of the sixth mass extinction. The recent invasion of a highly pathogenic chytrid fungus, Batrachochytrium salamandrivorans (Bsal), across Europe has led to salamander mass mortality. To date, it remains unclear whether Bsal will cause salamander mass mortalities in North America. Here, we tested the Bsal susceptibility of eight wild-caught salamander species (Plethodon cinereus, P. glutinosus, P. montanus, P. cylindraceus, Desmognathus fuscus, D. wrighti, Eurycea wilderae, and Notophthalmus viridescens) by inoculating individuals sequentially with a low (10,000 zoospores) and high (500,000 zoospores) Bsal dose. Overall, we found rapid and complete mortality of N. viridescens accompanied with high-Bsal infections (&gt; 200,000 Bsal zoospores) and severe Bsal lesions distributed across the body and deep within the skin. In contrast, we found low mortality of plethodontid salamanders, where only 5 of 60 (8%) Bsal-exposed individuals died over the course of the experiment. In general, plethodontid salamanders experienced moderate Bsal infections (~ 4000 Bsal zoospores) with small numbers of Bsal-type lesions limited to the head and lateral body. Following the first Bsal inoculation, we found that Bd co-infections negatively affected Bsal infections, suggesting cross reactivity of the immune system or competitive exclusion, but this pattern did not persist following the second inoculation. We also found that Bsal infection intensity decreased over time following the second higher Bsal inoculation, suggesting evidence of immune priming. Throughout the experiment, all species and treatments experienced stable or increasing body condition over time. Lastly, ancestral state reconstruction of Bsal susceptibility indicated that although the most recent common ancestor (MRCA) of the family Plethodontidae is resistant to Bsal, the MRCA of the genus Plethodon is tolerant of Bsal. This highlights the variation in Bsal-infection outcomes across Plethodontidae. Collectively, our results suggest that Plethodontidae salamanders differ in their Bsal susceptibility, with some species less impacted than others, which will likely have consequences for their conservation and management.","container-title":"Biological Invasions","DOI":"10.1007/s10530-021-02536-1","ISSN":"1387-3547","issue":"9","language":"English","license":"© The Author(s), under exclusive licence to Springer Nature Switzerland AG 2021. corrected publication 2021.","note":"number-of-pages: 2797-2815\npublisher-place: Dordrecht, Netherlands\npublisher: Springer Nature B.V.","page":"2797-2815","source":"ProQuest","title":"Plethodontid salamanders show variable disease dynamics in response to Batrachochytrium salamandrivorans chytridiomycosis","volume":"23","author":[{"family":"DiRenzo","given":"Graziella V."},{"family":"Link to external site","given":"this","dropping-particle":"link will open in a new window"},{"family":"Longo","given":"Ana V."},{"family":"Muletz-Wolz","given":"Carly R."},{"family":"Pessier","given":"Allan P."},{"family":"Goodheart","given":"Jessica A."},{"family":"Lips","given":"Karen R."}],"issued":{"date-parts":[["2021",9]]}}},{"id":423,"uris":["http://zotero.org/users/6401767/items/3UXJ2WYL"],"itemData":{"id":423,"type":"article-journal","abstract":"Widespread population declines in terrestrial Plethodon salamanders occurred by the 1980s throughout the Appalachian Mountains, the center of global salamander diversity, with no evident recovery. We tested the hypothesis that the historic introduction and spread of the pathogenic fungus Batrachochytrium dendrobatidis (Bd) into the eastern US was followed by Plethodon population declines. We expected to detect elevated prevalence of Bd prior to population declines as observed for Central American plethodontids. We tested 1,498 Plethodon salamanders of 12 species (892 museum specimens, 606 wild individuals) for the presence of Bd, and tested 94 of those for Batrachochytrium salamandrivorans (Bs) and for ranavirus. Field samples were collected in 2011 from 48 field sites across a 767 km transect. Historic samples from museum specimens were collected at five sites with the greatest number and longest duration of collection (1957–987), four of which were sampled in the field in 2011. None of the museum specimens were positive for Bd, but four P. cinereus from field surveys were positive. The overall Bd prevalence from 1957–2011 for 12 Plethodon species sampled across a 757 km transect was 0.2% (95% CI 0.1–0.7%). All 94 samples were negative for Bs and ranavirus. We conclude that known amphibian pathogens are unlikely causes for declines in these Plethodon populations. Furthermore, these exceptionally low levels of Bd, in a region known to harbor Bd, may indicate that Plethodon specific traits limit Bd infection.","container-title":"PLOS ONE","DOI":"10.1371/journal.pone.0103728","ISSN":"1932-6203","issue":"8","journalAbbreviation":"PLOS ONE","language":"en","note":"publisher: Public Library of Science","page":"e103728","source":"PLoS Journals","title":"Unexpected Rarity of the Pathogen Batrachochytrium dendrobatidis in Appalachian Plethodon Salamanders: 1957–2011","title-short":"Unexpected Rarity of the Pathogen Batrachochytrium dendrobatidis in Appalachian Plethodon Salamanders","volume":"9","author":[{"family":"Muletz","given":"Carly R."},{"family":"Caruso","given":"Nicholas M."},{"family":"Fleischer","given":"Robert C."},{"family":"McDiarmid","given":"Roy W."},{"family":"Lips","given":"Karen R."}],"issued":{"date-parts":[["2014",8,1]]}}},{"id":427,"uris":["http://zotero.org/users/6401767/items/PQGRMEFG"],"itemData":{"id":427,"type":"article-journal","container-title":"Catesbeiana","issue":"1","title":"Determining the prevalence of Amphibian Chytrid Fungus (Batrachochytrium dendrobatidis) and Ranavirus at Long Branch Nature Center in Arlington, Virginia","URL":"http://ww.virginiaherpetologicalsociety.com/catesbeiana-pdf/cat36n1/v36n1-Determining_the_prevalence_of_Amphibian_Chytrid_Fungus_and_Ranavirus_at_Long_Branch_Nature_Center_in_Arlington_Virginia.pdf","volume":"36","author":[{"family":"Augustine","given":"Lauren"},{"family":"Neff","given":"Matthew"}],"accessed":{"date-parts":[["2023",6,17]]},"issued":{"date-parts":[["2016"]]}}},{"id":432,"uris":["http://zotero.org/users/6401767/items/J95NUCKV"],"itemData":{"id":432,"type":"article-journal","abstract":"Amphibian fungal diseases have been implicated in a number of extinctions and declines worldwide. To establish the presence/absence of the amphibian pathogen Batrachochytrium dendrobatidis (Bd) on conservation lands in northern and south-central New Brunswick, Canada, we sampled eight species of anurans and six species of caudate amphibians (n = 390). Six species, including Rana catesbieana (American Bullfrog), R. clamitans (Green Frog), R. sylvatica (Wood Frog), Desmognathus fuscus (Northern Dusky Salamander), Plethodon cinereus (Eastern Red-backed Salamander) and Notopthalmus viridescens (Eastern Newt) tested positive for Bd. Prevalence for Bd in New Brunswick amphibians was low overall (4.6%) relative to those reported from surrounding states and provinces; however, two plethodontid salamanders, D. fuscus and P. cinereus, had the highest Bd prevalence among any of the amphibians sampled (9.1% and 12.9% respectively). In contrast, other studies have generally found plethodontids to have Bd prevalence of ≤ 2%. This survey for Bd, while not comprehensive, can serve as baseline and help direct future research in the province of New Brunswick.","container-title":"Herpetological Conservation and Biology","journalAbbreviation":"Herpetological Conservation and Biology","page":"91-96","source":"ResearchGate","title":"High prevalence of the amphibian pathogen Batrachochytrium dendrobatidis in plethodontid salamanders in protected areas in New Brunswick, Canada","volume":"14","author":[{"family":"Jongsma","given":"Gregory"},{"family":"Empey","given":"Madelaine"},{"family":"Smith","given":"Caleigh"},{"family":"Bennett","given":"Amanda"},{"family":"McAlpine","given":"Donald"}],"issued":{"date-parts":[["2019",4,30]]}}},{"id":1806,"uris":["http://zotero.org/users/6401767/items/DKVK77EI"],"itemData":{"id":1806,"type":"article-journal","abstract":"A chytridiomycosis outbreak from Batrachochytrium dendrobatidis (Bd) in a mixed-species plethodontid salamander exhibit resulted in four green salamander (Aneides aeneus) deaths. One green salamander died before treatment, and three died during treatment with daily 0.005% itraconazole baths. All salamanders had evidence of severe Bd infections via cytology, histopathology, and/or polymerase chain reaction (PCR) at the time of death. Ten long-tailed salamanders (Eurycea longicauda) and one two-lined salamander (Eurycea bislineata) that shared the enclosure were initially negative for Bd on quantitative PCR but were prophylactically treated with daily 0.01% itraconazole baths for 11 days. Posttreatment testing yielded eight long-tailed salamanders and one two-lined salamander positive for Bd with low gene equivalents. All salamanders were negative after two to three treatment courses, and there were no additional mortalities. The difference in mortality and fungal load suggested that genus Aneides salamanders may be more susceptible to Bd than genus Eurycea salamanders.","container-title":"Journal of Zoo and Wildlife Medicine","DOI":"10.1638/2017-0174.1","ISSN":"1042-7260, 1937-2825","issue":"2","journalAbbreviation":"zamd","note":"publisher: American Association of Zoo Veterinarians","page":"454-459","source":"bioone.org","title":"BATRACHOCHYTRIUM DENDROBATIDIS IN A CAPTIVE COLLECTION OF GREEN SALAMANDERS (ANEIDES AENEUS), LONG-TAILED SALAMANDERS (EURYCEA LONGICAUDA), AND TWO-LINED SALAMANDERS (EURYCEA BISLINEATA)","volume":"49","author":[{"family":"Bauer","given":"Kendra L."},{"family":"Steeil","given":"James C."},{"family":"Walsh","given":"Timothy F."},{"family":"Evans","given":"Matthew J."},{"family":"Klocke","given":"Blake"},{"family":"Gratwicke","given":"Brian"},{"family":"Siegal-Willott","given":"Jessica L."},{"family":"Neiffer","given":"Donald L."}],"issued":{"date-parts":[["2018",6]]}}}],"schema":"https://github.com/citation-style-language/schema/raw/master/csl-citation.json"} </w:instrText>
      </w:r>
      <w:r w:rsidRPr="005E32F5">
        <w:rPr>
          <w:rFonts w:ascii="Times New Roman" w:hAnsi="Times New Roman" w:cs="Times New Roman"/>
        </w:rPr>
        <w:fldChar w:fldCharType="separate"/>
      </w:r>
      <w:r w:rsidR="00CB244F">
        <w:rPr>
          <w:rFonts w:ascii="Times New Roman" w:hAnsi="Times New Roman" w:cs="Times New Roman"/>
        </w:rPr>
        <w:t>(Augustine &amp; Neff, 2016; Bauer et al., 2018; Carter et al., 2020; DiRenzo et al., 2021; Jongsma et al., 2019; Muletz et al., 2014)</w:t>
      </w:r>
      <w:r w:rsidRPr="005E32F5">
        <w:rPr>
          <w:rFonts w:ascii="Times New Roman" w:hAnsi="Times New Roman" w:cs="Times New Roman"/>
        </w:rPr>
        <w:fldChar w:fldCharType="end"/>
      </w:r>
      <w:r w:rsidRPr="005E32F5">
        <w:rPr>
          <w:rFonts w:ascii="Times New Roman" w:hAnsi="Times New Roman" w:cs="Times New Roman"/>
        </w:rPr>
        <w:t>. Infection by these pathogenic fungi is most likely to occur when the animals are in their aquatic phases, therefore changes in the representation of skin symbionts with antifungal properties during and after transitions between water and land might be critical for host susceptibility. The goals of this study were to a) assess the temporal variability of skin bacteria in relation to host phenology (aquatic and terrestrial phases) and b) evaluate four definitions of the core microbiome to characterize host-microbe associations.</w:t>
      </w:r>
    </w:p>
    <w:p w14:paraId="6E5FF58F" w14:textId="77777777" w:rsidR="002F0DCF" w:rsidRPr="005E32F5" w:rsidRDefault="002F0DCF" w:rsidP="005C70DD">
      <w:pPr>
        <w:pStyle w:val="Heading2"/>
        <w:rPr>
          <w:rFonts w:ascii="Times New Roman" w:hAnsi="Times New Roman" w:cs="Times New Roman"/>
          <w:b w:val="0"/>
          <w:bCs w:val="0"/>
        </w:rPr>
      </w:pPr>
      <w:bookmarkStart w:id="101" w:name="_Toc165028079"/>
      <w:r w:rsidRPr="005E32F5">
        <w:rPr>
          <w:rFonts w:ascii="Times New Roman" w:hAnsi="Times New Roman" w:cs="Times New Roman"/>
        </w:rPr>
        <w:t>Methods</w:t>
      </w:r>
      <w:bookmarkEnd w:id="101"/>
    </w:p>
    <w:p w14:paraId="78E65A8F" w14:textId="4D58893B" w:rsidR="002E26CD" w:rsidRPr="00491D83" w:rsidRDefault="002E26CD" w:rsidP="002E26CD">
      <w:pPr>
        <w:pStyle w:val="Heading3"/>
        <w:rPr>
          <w:rFonts w:ascii="Times New Roman" w:hAnsi="Times New Roman" w:cs="Times New Roman"/>
          <w:b w:val="0"/>
          <w:bCs w:val="0"/>
        </w:rPr>
      </w:pPr>
      <w:bookmarkStart w:id="102" w:name="_Toc165028080"/>
      <w:r w:rsidRPr="00491D83">
        <w:rPr>
          <w:rFonts w:ascii="Times New Roman" w:hAnsi="Times New Roman" w:cs="Times New Roman"/>
          <w:b w:val="0"/>
          <w:bCs w:val="0"/>
        </w:rPr>
        <w:t xml:space="preserve">Sample </w:t>
      </w:r>
      <w:proofErr w:type="gramStart"/>
      <w:r w:rsidR="008A6662" w:rsidRPr="00491D83">
        <w:rPr>
          <w:rFonts w:ascii="Times New Roman" w:hAnsi="Times New Roman" w:cs="Times New Roman"/>
          <w:b w:val="0"/>
          <w:bCs w:val="0"/>
        </w:rPr>
        <w:t>c</w:t>
      </w:r>
      <w:r w:rsidRPr="00491D83">
        <w:rPr>
          <w:rFonts w:ascii="Times New Roman" w:hAnsi="Times New Roman" w:cs="Times New Roman"/>
          <w:b w:val="0"/>
          <w:bCs w:val="0"/>
        </w:rPr>
        <w:t>ollection</w:t>
      </w:r>
      <w:bookmarkEnd w:id="102"/>
      <w:proofErr w:type="gramEnd"/>
    </w:p>
    <w:p w14:paraId="4972BCEC" w14:textId="73703CD7" w:rsidR="0039197A"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To assess the temporal constancy and core microbiome of </w:t>
      </w:r>
      <w:r w:rsidRPr="005E32F5">
        <w:rPr>
          <w:rFonts w:ascii="Times New Roman" w:hAnsi="Times New Roman" w:cs="Times New Roman"/>
          <w:i/>
          <w:iCs/>
        </w:rPr>
        <w:t xml:space="preserve">E. </w:t>
      </w:r>
      <w:r w:rsidRPr="005E32F5">
        <w:rPr>
          <w:rFonts w:ascii="Times New Roman" w:hAnsi="Times New Roman" w:cs="Times New Roman"/>
        </w:rPr>
        <w:t>cf.</w:t>
      </w:r>
      <w:r w:rsidRPr="005E32F5">
        <w:rPr>
          <w:rFonts w:ascii="Times New Roman" w:hAnsi="Times New Roman" w:cs="Times New Roman"/>
          <w:i/>
          <w:iCs/>
        </w:rPr>
        <w:t xml:space="preserve"> </w:t>
      </w:r>
      <w:proofErr w:type="spellStart"/>
      <w:r w:rsidRPr="005E32F5">
        <w:rPr>
          <w:rFonts w:ascii="Times New Roman" w:hAnsi="Times New Roman" w:cs="Times New Roman"/>
          <w:i/>
          <w:iCs/>
        </w:rPr>
        <w:t>wilderae</w:t>
      </w:r>
      <w:proofErr w:type="spellEnd"/>
      <w:r w:rsidRPr="005E32F5">
        <w:rPr>
          <w:rFonts w:ascii="Times New Roman" w:hAnsi="Times New Roman" w:cs="Times New Roman"/>
          <w:i/>
          <w:iCs/>
        </w:rPr>
        <w:t xml:space="preserve">, </w:t>
      </w:r>
      <w:r w:rsidRPr="005E32F5">
        <w:rPr>
          <w:rFonts w:ascii="Times New Roman" w:hAnsi="Times New Roman" w:cs="Times New Roman"/>
        </w:rPr>
        <w:t xml:space="preserve">we selected nine low-order streams within Great Smoky Mountain National Park and sampled each site seasonally for the course of one year in 2018-2019. We analyzed one salamander per site per season. </w:t>
      </w:r>
      <w:r w:rsidR="002E26CD">
        <w:rPr>
          <w:rFonts w:ascii="Times New Roman" w:hAnsi="Times New Roman" w:cs="Times New Roman"/>
        </w:rPr>
        <w:t xml:space="preserve">Salamanders were captured, </w:t>
      </w:r>
      <w:r w:rsidRPr="005E32F5">
        <w:rPr>
          <w:rFonts w:ascii="Times New Roman" w:hAnsi="Times New Roman" w:cs="Times New Roman"/>
        </w:rPr>
        <w:t>rinsed</w:t>
      </w:r>
      <w:r w:rsidR="002E26CD">
        <w:rPr>
          <w:rFonts w:ascii="Times New Roman" w:hAnsi="Times New Roman" w:cs="Times New Roman"/>
        </w:rPr>
        <w:t>, and swabbed</w:t>
      </w:r>
      <w:r w:rsidRPr="005E32F5">
        <w:rPr>
          <w:rFonts w:ascii="Times New Roman" w:hAnsi="Times New Roman" w:cs="Times New Roman"/>
        </w:rPr>
        <w:t xml:space="preserve"> </w:t>
      </w:r>
      <w:r w:rsidR="002E26CD">
        <w:rPr>
          <w:rFonts w:ascii="Times New Roman" w:hAnsi="Times New Roman" w:cs="Times New Roman"/>
        </w:rPr>
        <w:t>as described previously</w:t>
      </w:r>
      <w:r w:rsidRPr="005E32F5">
        <w:rPr>
          <w:rFonts w:ascii="Times New Roman" w:hAnsi="Times New Roman" w:cs="Times New Roman"/>
        </w:rPr>
        <w:t>. The cover object where the salamander was found was also swabbed. Swabs were broken off into sterile 1.5ml centrifuge tubes and stored on dry ice in the field, before storage at -80</w:t>
      </w:r>
      <w:r w:rsidRPr="005E32F5">
        <w:rPr>
          <w:rFonts w:ascii="Times New Roman" w:hAnsi="Times New Roman" w:cs="Times New Roman"/>
        </w:rPr>
        <w:sym w:font="Symbol" w:char="F0B0"/>
      </w:r>
      <w:r w:rsidRPr="005E32F5">
        <w:rPr>
          <w:rFonts w:ascii="Times New Roman" w:hAnsi="Times New Roman" w:cs="Times New Roman"/>
        </w:rPr>
        <w:t xml:space="preserve">C in the lab. Across our nine sites sampled, six followed the anticipated seasonal habitat utilization of </w:t>
      </w:r>
      <w:r w:rsidRPr="005E32F5">
        <w:rPr>
          <w:rFonts w:ascii="Times New Roman" w:hAnsi="Times New Roman" w:cs="Times New Roman"/>
          <w:i/>
          <w:iCs/>
        </w:rPr>
        <w:t xml:space="preserve">E. </w:t>
      </w:r>
      <w:r w:rsidRPr="005E32F5">
        <w:rPr>
          <w:rFonts w:ascii="Times New Roman" w:hAnsi="Times New Roman" w:cs="Times New Roman"/>
        </w:rPr>
        <w:t xml:space="preserve">cf. </w:t>
      </w:r>
      <w:proofErr w:type="spellStart"/>
      <w:r w:rsidRPr="005E32F5">
        <w:rPr>
          <w:rFonts w:ascii="Times New Roman" w:hAnsi="Times New Roman" w:cs="Times New Roman"/>
          <w:i/>
          <w:iCs/>
        </w:rPr>
        <w:t>wilderae</w:t>
      </w:r>
      <w:proofErr w:type="spellEnd"/>
      <w:r w:rsidRPr="005E32F5">
        <w:rPr>
          <w:rFonts w:ascii="Times New Roman" w:hAnsi="Times New Roman" w:cs="Times New Roman"/>
        </w:rPr>
        <w:t xml:space="preserve">, while two sites had salamanders on land in the Spring, and in water in the Fall during sampling. Additionally, one site had terrestrial captured salamanders for three seasons. Finally, we were unable to find salamanders during the Spring sampling at site N, and during the winter </w:t>
      </w:r>
      <w:r w:rsidRPr="005E32F5">
        <w:rPr>
          <w:rFonts w:ascii="Times New Roman" w:hAnsi="Times New Roman" w:cs="Times New Roman"/>
        </w:rPr>
        <w:lastRenderedPageBreak/>
        <w:t>sampling of site K, resulting in seven sites with four samples (one in each season) and two sites with only three seasons represented (</w:t>
      </w:r>
      <w:r w:rsidRPr="005E32F5">
        <w:rPr>
          <w:rFonts w:ascii="Times New Roman" w:hAnsi="Times New Roman" w:cs="Times New Roman"/>
          <w:b/>
          <w:bCs/>
        </w:rPr>
        <w:t xml:space="preserve">Table </w:t>
      </w:r>
      <w:r w:rsidR="009835B0">
        <w:rPr>
          <w:rFonts w:ascii="Times New Roman" w:hAnsi="Times New Roman" w:cs="Times New Roman"/>
          <w:b/>
          <w:bCs/>
        </w:rPr>
        <w:t>5</w:t>
      </w:r>
      <w:r w:rsidRPr="005E32F5">
        <w:rPr>
          <w:rFonts w:ascii="Times New Roman" w:hAnsi="Times New Roman" w:cs="Times New Roman"/>
        </w:rPr>
        <w:t>).</w:t>
      </w:r>
    </w:p>
    <w:p w14:paraId="18528ECE" w14:textId="7A6B3BA4" w:rsidR="001C7E0F" w:rsidRPr="00491D83" w:rsidRDefault="001C7E0F" w:rsidP="001C7E0F">
      <w:pPr>
        <w:pStyle w:val="Heading3"/>
        <w:rPr>
          <w:rFonts w:ascii="Times New Roman" w:hAnsi="Times New Roman" w:cs="Times New Roman"/>
          <w:b w:val="0"/>
          <w:bCs w:val="0"/>
          <w:i w:val="0"/>
        </w:rPr>
      </w:pPr>
      <w:bookmarkStart w:id="103" w:name="_Toc165028081"/>
      <w:r w:rsidRPr="00491D83">
        <w:rPr>
          <w:rFonts w:ascii="Times New Roman" w:hAnsi="Times New Roman" w:cs="Times New Roman"/>
          <w:b w:val="0"/>
          <w:bCs w:val="0"/>
          <w:iCs/>
        </w:rPr>
        <w:t xml:space="preserve">Sample </w:t>
      </w:r>
      <w:proofErr w:type="gramStart"/>
      <w:r w:rsidR="008A6662" w:rsidRPr="00491D83">
        <w:rPr>
          <w:rFonts w:ascii="Times New Roman" w:hAnsi="Times New Roman" w:cs="Times New Roman"/>
          <w:b w:val="0"/>
          <w:bCs w:val="0"/>
          <w:iCs/>
        </w:rPr>
        <w:t>p</w:t>
      </w:r>
      <w:r w:rsidRPr="00491D83">
        <w:rPr>
          <w:rFonts w:ascii="Times New Roman" w:hAnsi="Times New Roman" w:cs="Times New Roman"/>
          <w:b w:val="0"/>
          <w:bCs w:val="0"/>
          <w:iCs/>
        </w:rPr>
        <w:t>rocessing</w:t>
      </w:r>
      <w:bookmarkEnd w:id="103"/>
      <w:proofErr w:type="gramEnd"/>
    </w:p>
    <w:p w14:paraId="5A8A7314" w14:textId="62E73F9D" w:rsidR="00FA442E" w:rsidRPr="005E32F5" w:rsidRDefault="001C7E0F" w:rsidP="00D24CDA">
      <w:pPr>
        <w:spacing w:line="360" w:lineRule="auto"/>
        <w:ind w:firstLine="720"/>
        <w:rPr>
          <w:rFonts w:ascii="Times New Roman" w:hAnsi="Times New Roman" w:cs="Times New Roman"/>
        </w:rPr>
      </w:pPr>
      <w:r w:rsidRPr="005E32F5">
        <w:rPr>
          <w:rFonts w:ascii="Times New Roman" w:hAnsi="Times New Roman" w:cs="Times New Roman"/>
        </w:rPr>
        <w:t xml:space="preserve">DNA was extracted using the Qiagen </w:t>
      </w:r>
      <w:proofErr w:type="spellStart"/>
      <w:r w:rsidRPr="005E32F5">
        <w:rPr>
          <w:rFonts w:ascii="Times New Roman" w:hAnsi="Times New Roman" w:cs="Times New Roman"/>
        </w:rPr>
        <w:t>DNEasy</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Powersoil</w:t>
      </w:r>
      <w:proofErr w:type="spellEnd"/>
      <w:r w:rsidRPr="005E32F5">
        <w:rPr>
          <w:rFonts w:ascii="Times New Roman" w:hAnsi="Times New Roman" w:cs="Times New Roman"/>
        </w:rPr>
        <w:t xml:space="preserve"> Kit following the manufacturer’s protocol </w:t>
      </w:r>
      <w:proofErr w:type="gramStart"/>
      <w:r w:rsidRPr="005E32F5">
        <w:rPr>
          <w:rFonts w:ascii="Times New Roman" w:hAnsi="Times New Roman" w:cs="Times New Roman"/>
        </w:rPr>
        <w:t>with the exception of</w:t>
      </w:r>
      <w:proofErr w:type="gramEnd"/>
      <w:r w:rsidRPr="005E32F5">
        <w:rPr>
          <w:rFonts w:ascii="Times New Roman" w:hAnsi="Times New Roman" w:cs="Times New Roman"/>
        </w:rPr>
        <w:t xml:space="preserve"> including a 5-minute incubation step at room temperature before spin column elution and a 50</w:t>
      </w:r>
      <w:r w:rsidRPr="005E32F5">
        <w:rPr>
          <w:rFonts w:ascii="Times New Roman" w:hAnsi="Times New Roman" w:cs="Times New Roman"/>
        </w:rPr>
        <w:sym w:font="Symbol" w:char="F06D"/>
      </w:r>
      <w:r w:rsidRPr="005E32F5">
        <w:rPr>
          <w:rFonts w:ascii="Times New Roman" w:hAnsi="Times New Roman" w:cs="Times New Roman"/>
        </w:rPr>
        <w:t xml:space="preserve">l elution volume to compensate for expected low recoveries. The </w:t>
      </w:r>
      <w:r w:rsidR="00FA442E" w:rsidRPr="005E32F5">
        <w:rPr>
          <w:rFonts w:ascii="Times New Roman" w:hAnsi="Times New Roman" w:cs="Times New Roman"/>
        </w:rPr>
        <w:t>V3-V4 region of 16S rDNA was amplified using the 341F 785R primers in 27.5</w:t>
      </w:r>
      <w:r w:rsidR="00FA442E" w:rsidRPr="005E32F5">
        <w:rPr>
          <w:rFonts w:ascii="Times New Roman" w:hAnsi="Times New Roman" w:cs="Times New Roman"/>
        </w:rPr>
        <w:sym w:font="Symbol" w:char="F06D"/>
      </w:r>
      <w:r w:rsidR="00FA442E" w:rsidRPr="005E32F5">
        <w:rPr>
          <w:rFonts w:ascii="Times New Roman" w:hAnsi="Times New Roman" w:cs="Times New Roman"/>
        </w:rPr>
        <w:t>l reactions containing 12.5</w:t>
      </w:r>
      <w:r w:rsidR="00FA442E" w:rsidRPr="005E32F5">
        <w:rPr>
          <w:rFonts w:ascii="Times New Roman" w:hAnsi="Times New Roman" w:cs="Times New Roman"/>
        </w:rPr>
        <w:sym w:font="Symbol" w:char="F06D"/>
      </w:r>
      <w:r w:rsidR="00FA442E" w:rsidRPr="005E32F5">
        <w:rPr>
          <w:rFonts w:ascii="Times New Roman" w:hAnsi="Times New Roman" w:cs="Times New Roman"/>
        </w:rPr>
        <w:t xml:space="preserve">l KAPA HiFi </w:t>
      </w:r>
      <w:proofErr w:type="spellStart"/>
      <w:r w:rsidR="00FA442E" w:rsidRPr="005E32F5">
        <w:rPr>
          <w:rFonts w:ascii="Times New Roman" w:hAnsi="Times New Roman" w:cs="Times New Roman"/>
        </w:rPr>
        <w:t>HotStart</w:t>
      </w:r>
      <w:proofErr w:type="spellEnd"/>
      <w:r w:rsidR="00FA442E" w:rsidRPr="005E32F5">
        <w:rPr>
          <w:rFonts w:ascii="Times New Roman" w:hAnsi="Times New Roman" w:cs="Times New Roman"/>
        </w:rPr>
        <w:t xml:space="preserve"> PCR </w:t>
      </w:r>
      <w:proofErr w:type="spellStart"/>
      <w:r w:rsidR="00FA442E" w:rsidRPr="005E32F5">
        <w:rPr>
          <w:rFonts w:ascii="Times New Roman" w:hAnsi="Times New Roman" w:cs="Times New Roman"/>
        </w:rPr>
        <w:t>ReadyMix</w:t>
      </w:r>
      <w:proofErr w:type="spellEnd"/>
      <w:r w:rsidR="00FA442E" w:rsidRPr="005E32F5">
        <w:rPr>
          <w:rFonts w:ascii="Times New Roman" w:hAnsi="Times New Roman" w:cs="Times New Roman"/>
        </w:rPr>
        <w:t>, 5</w:t>
      </w:r>
      <w:r w:rsidR="00FA442E" w:rsidRPr="005E32F5">
        <w:rPr>
          <w:rFonts w:ascii="Times New Roman" w:hAnsi="Times New Roman" w:cs="Times New Roman"/>
        </w:rPr>
        <w:sym w:font="Symbol" w:char="F06D"/>
      </w:r>
      <w:r w:rsidR="00FA442E" w:rsidRPr="005E32F5">
        <w:rPr>
          <w:rFonts w:ascii="Times New Roman" w:hAnsi="Times New Roman" w:cs="Times New Roman"/>
        </w:rPr>
        <w:t>l forward primer (1</w:t>
      </w:r>
      <w:r w:rsidR="00FA442E" w:rsidRPr="005E32F5">
        <w:rPr>
          <w:rFonts w:ascii="Times New Roman" w:hAnsi="Times New Roman" w:cs="Times New Roman"/>
        </w:rPr>
        <w:sym w:font="Symbol" w:char="F06D"/>
      </w:r>
      <w:r w:rsidR="00FA442E" w:rsidRPr="005E32F5">
        <w:rPr>
          <w:rFonts w:ascii="Times New Roman" w:hAnsi="Times New Roman" w:cs="Times New Roman"/>
        </w:rPr>
        <w:t>M), 5</w:t>
      </w:r>
      <w:r w:rsidR="00FA442E" w:rsidRPr="005E32F5">
        <w:rPr>
          <w:rFonts w:ascii="Times New Roman" w:hAnsi="Times New Roman" w:cs="Times New Roman"/>
        </w:rPr>
        <w:sym w:font="Symbol" w:char="F06D"/>
      </w:r>
      <w:r w:rsidR="00FA442E" w:rsidRPr="005E32F5">
        <w:rPr>
          <w:rFonts w:ascii="Times New Roman" w:hAnsi="Times New Roman" w:cs="Times New Roman"/>
        </w:rPr>
        <w:t>l reverse primer (1</w:t>
      </w:r>
      <w:r w:rsidR="00FA442E" w:rsidRPr="005E32F5">
        <w:rPr>
          <w:rFonts w:ascii="Times New Roman" w:hAnsi="Times New Roman" w:cs="Times New Roman"/>
        </w:rPr>
        <w:sym w:font="Symbol" w:char="F06D"/>
      </w:r>
      <w:r w:rsidR="00FA442E" w:rsidRPr="005E32F5">
        <w:rPr>
          <w:rFonts w:ascii="Times New Roman" w:hAnsi="Times New Roman" w:cs="Times New Roman"/>
        </w:rPr>
        <w:t>M), and 5</w:t>
      </w:r>
      <w:r w:rsidR="00FA442E" w:rsidRPr="005E32F5">
        <w:rPr>
          <w:rFonts w:ascii="Times New Roman" w:hAnsi="Times New Roman" w:cs="Times New Roman"/>
        </w:rPr>
        <w:sym w:font="Symbol" w:char="F06D"/>
      </w:r>
      <w:r w:rsidR="00FA442E" w:rsidRPr="005E32F5">
        <w:rPr>
          <w:rFonts w:ascii="Times New Roman" w:hAnsi="Times New Roman" w:cs="Times New Roman"/>
        </w:rPr>
        <w:t>l template. Conditions for the PCR were as followed: 95</w:t>
      </w:r>
      <w:r w:rsidR="00FA442E" w:rsidRPr="005E32F5">
        <w:rPr>
          <w:rFonts w:ascii="Times New Roman" w:hAnsi="Times New Roman" w:cs="Times New Roman"/>
        </w:rPr>
        <w:sym w:font="Symbol" w:char="F0B0"/>
      </w:r>
      <w:r w:rsidR="00FA442E" w:rsidRPr="005E32F5">
        <w:rPr>
          <w:rFonts w:ascii="Times New Roman" w:hAnsi="Times New Roman" w:cs="Times New Roman"/>
        </w:rPr>
        <w:t>C for 3 minutes, followed by 30 cycles of 95</w:t>
      </w:r>
      <w:r w:rsidR="00FA442E" w:rsidRPr="005E32F5">
        <w:rPr>
          <w:rFonts w:ascii="Times New Roman" w:hAnsi="Times New Roman" w:cs="Times New Roman"/>
        </w:rPr>
        <w:sym w:font="Symbol" w:char="F0B0"/>
      </w:r>
      <w:r w:rsidR="00FA442E" w:rsidRPr="005E32F5">
        <w:rPr>
          <w:rFonts w:ascii="Times New Roman" w:hAnsi="Times New Roman" w:cs="Times New Roman"/>
        </w:rPr>
        <w:t>C for 30s, 55</w:t>
      </w:r>
      <w:r w:rsidR="00FA442E" w:rsidRPr="005E32F5">
        <w:rPr>
          <w:rFonts w:ascii="Times New Roman" w:hAnsi="Times New Roman" w:cs="Times New Roman"/>
        </w:rPr>
        <w:sym w:font="Symbol" w:char="F0B0"/>
      </w:r>
      <w:r w:rsidR="00FA442E" w:rsidRPr="005E32F5">
        <w:rPr>
          <w:rFonts w:ascii="Times New Roman" w:hAnsi="Times New Roman" w:cs="Times New Roman"/>
        </w:rPr>
        <w:t>C for 30s, and 72</w:t>
      </w:r>
      <w:r w:rsidR="00FA442E" w:rsidRPr="005E32F5">
        <w:rPr>
          <w:rFonts w:ascii="Times New Roman" w:hAnsi="Times New Roman" w:cs="Times New Roman"/>
        </w:rPr>
        <w:sym w:font="Symbol" w:char="F0B0"/>
      </w:r>
      <w:r w:rsidR="00FA442E" w:rsidRPr="005E32F5">
        <w:rPr>
          <w:rFonts w:ascii="Times New Roman" w:hAnsi="Times New Roman" w:cs="Times New Roman"/>
        </w:rPr>
        <w:t>C for 30s. The final elongation step was 72</w:t>
      </w:r>
      <w:r w:rsidR="00FA442E" w:rsidRPr="005E32F5">
        <w:rPr>
          <w:rFonts w:ascii="Times New Roman" w:hAnsi="Times New Roman" w:cs="Times New Roman"/>
        </w:rPr>
        <w:sym w:font="Symbol" w:char="F0B0"/>
      </w:r>
      <w:r w:rsidR="00FA442E" w:rsidRPr="005E32F5">
        <w:rPr>
          <w:rFonts w:ascii="Times New Roman" w:hAnsi="Times New Roman" w:cs="Times New Roman"/>
        </w:rPr>
        <w:t>C for five minutes and reactions were then held at 4</w:t>
      </w:r>
      <w:r w:rsidR="00FA442E" w:rsidRPr="005E32F5">
        <w:rPr>
          <w:rFonts w:ascii="Times New Roman" w:hAnsi="Times New Roman" w:cs="Times New Roman"/>
        </w:rPr>
        <w:sym w:font="Symbol" w:char="F0B0"/>
      </w:r>
      <w:r w:rsidR="00FA442E" w:rsidRPr="005E32F5">
        <w:rPr>
          <w:rFonts w:ascii="Times New Roman" w:hAnsi="Times New Roman" w:cs="Times New Roman"/>
        </w:rPr>
        <w:t xml:space="preserve">C. Amplified products were verified on a 1.5% agarose gel and purified using </w:t>
      </w:r>
      <w:proofErr w:type="spellStart"/>
      <w:r w:rsidR="00FA442E" w:rsidRPr="005E32F5">
        <w:rPr>
          <w:rFonts w:ascii="Times New Roman" w:hAnsi="Times New Roman" w:cs="Times New Roman"/>
        </w:rPr>
        <w:t>AMPure</w:t>
      </w:r>
      <w:proofErr w:type="spellEnd"/>
      <w:r w:rsidR="00FA442E" w:rsidRPr="005E32F5">
        <w:rPr>
          <w:rFonts w:ascii="Times New Roman" w:hAnsi="Times New Roman" w:cs="Times New Roman"/>
        </w:rPr>
        <w:t xml:space="preserve"> Beads (Beckman Coulter). Purified samples were assigned unique Nexterra barcodes in a multiplexing PCR using the same conditions described above, only with 8 cycles. Products were then purified again, quantified using a Nanodrop spectrophotometer (</w:t>
      </w:r>
      <w:proofErr w:type="spellStart"/>
      <w:r w:rsidR="00FA442E" w:rsidRPr="005E32F5">
        <w:rPr>
          <w:rFonts w:ascii="Times New Roman" w:hAnsi="Times New Roman" w:cs="Times New Roman"/>
        </w:rPr>
        <w:t>Thermo</w:t>
      </w:r>
      <w:proofErr w:type="spellEnd"/>
      <w:r w:rsidR="00FA442E">
        <w:rPr>
          <w:rFonts w:ascii="Times New Roman" w:hAnsi="Times New Roman" w:cs="Times New Roman"/>
        </w:rPr>
        <w:t xml:space="preserve"> Fisher</w:t>
      </w:r>
      <w:r w:rsidR="00FA442E" w:rsidRPr="005E32F5">
        <w:rPr>
          <w:rFonts w:ascii="Times New Roman" w:hAnsi="Times New Roman" w:cs="Times New Roman"/>
        </w:rPr>
        <w:t xml:space="preserve">), and pooled to equimolar concentrations. Quality and amplicon size were </w:t>
      </w:r>
      <w:r w:rsidR="00FA442E">
        <w:rPr>
          <w:rFonts w:ascii="Times New Roman" w:hAnsi="Times New Roman" w:cs="Times New Roman"/>
        </w:rPr>
        <w:t>confirmed</w:t>
      </w:r>
      <w:r w:rsidR="00FA442E" w:rsidRPr="005E32F5">
        <w:rPr>
          <w:rFonts w:ascii="Times New Roman" w:hAnsi="Times New Roman" w:cs="Times New Roman"/>
        </w:rPr>
        <w:t xml:space="preserve"> and sequenced at the University of Tennessee Genomics Core on an Illumina </w:t>
      </w:r>
      <w:proofErr w:type="spellStart"/>
      <w:r w:rsidR="00FA442E" w:rsidRPr="005E32F5">
        <w:rPr>
          <w:rFonts w:ascii="Times New Roman" w:hAnsi="Times New Roman" w:cs="Times New Roman"/>
        </w:rPr>
        <w:t>Miseq</w:t>
      </w:r>
      <w:proofErr w:type="spellEnd"/>
      <w:r w:rsidR="00FA442E" w:rsidRPr="005E32F5">
        <w:rPr>
          <w:rFonts w:ascii="Times New Roman" w:hAnsi="Times New Roman" w:cs="Times New Roman"/>
        </w:rPr>
        <w:t xml:space="preserve"> PE250 flow cell with a 20% </w:t>
      </w:r>
      <w:proofErr w:type="spellStart"/>
      <w:r w:rsidR="00FA442E" w:rsidRPr="005E32F5">
        <w:rPr>
          <w:rFonts w:ascii="Times New Roman" w:hAnsi="Times New Roman" w:cs="Times New Roman"/>
        </w:rPr>
        <w:t>PhiX</w:t>
      </w:r>
      <w:proofErr w:type="spellEnd"/>
      <w:r w:rsidR="00FA442E" w:rsidRPr="005E32F5">
        <w:rPr>
          <w:rFonts w:ascii="Times New Roman" w:hAnsi="Times New Roman" w:cs="Times New Roman"/>
        </w:rPr>
        <w:t xml:space="preserve"> spike</w:t>
      </w:r>
      <w:r w:rsidR="00FA442E">
        <w:rPr>
          <w:rFonts w:ascii="Times New Roman" w:hAnsi="Times New Roman" w:cs="Times New Roman"/>
        </w:rPr>
        <w:t>.</w:t>
      </w:r>
    </w:p>
    <w:p w14:paraId="7FA4B590" w14:textId="77777777" w:rsidR="00FA442E" w:rsidRPr="00491D83" w:rsidRDefault="00FA442E" w:rsidP="00FA442E">
      <w:pPr>
        <w:pStyle w:val="Heading3"/>
        <w:rPr>
          <w:rFonts w:ascii="Times New Roman" w:hAnsi="Times New Roman" w:cs="Times New Roman"/>
          <w:b w:val="0"/>
          <w:bCs w:val="0"/>
          <w:i w:val="0"/>
          <w:iCs/>
        </w:rPr>
      </w:pPr>
      <w:bookmarkStart w:id="104" w:name="_Toc165028082"/>
      <w:r w:rsidRPr="00491D83">
        <w:rPr>
          <w:rFonts w:ascii="Times New Roman" w:hAnsi="Times New Roman" w:cs="Times New Roman"/>
          <w:b w:val="0"/>
          <w:bCs w:val="0"/>
          <w:iCs/>
        </w:rPr>
        <w:t>Bioinformatics</w:t>
      </w:r>
      <w:bookmarkEnd w:id="104"/>
    </w:p>
    <w:p w14:paraId="01EDBCEE" w14:textId="215CDEB1" w:rsidR="003C43CF" w:rsidRDefault="00FA442E" w:rsidP="003C43CF">
      <w:pPr>
        <w:spacing w:line="360" w:lineRule="auto"/>
        <w:ind w:firstLine="720"/>
        <w:rPr>
          <w:rFonts w:ascii="Times New Roman" w:hAnsi="Times New Roman" w:cs="Times New Roman"/>
        </w:rPr>
      </w:pPr>
      <w:r w:rsidRPr="005E32F5">
        <w:rPr>
          <w:rFonts w:ascii="Times New Roman" w:hAnsi="Times New Roman" w:cs="Times New Roman"/>
        </w:rPr>
        <w:t xml:space="preserve">Demultiplexed sequences were processed using Qiime2 </w:t>
      </w:r>
      <w:r w:rsidRPr="005E32F5">
        <w:rPr>
          <w:rFonts w:ascii="Times New Roman" w:hAnsi="Times New Roman" w:cs="Times New Roman"/>
        </w:rPr>
        <w:fldChar w:fldCharType="begin"/>
      </w:r>
      <w:r>
        <w:rPr>
          <w:rFonts w:ascii="Times New Roman" w:hAnsi="Times New Roman" w:cs="Times New Roman"/>
        </w:rPr>
        <w:instrText xml:space="preserve"> ADDIN ZOTERO_ITEM CSL_CITATION {"citationID":"x5Bt6iX4","properties":{"formattedCitation":"(Bolyen et al., 2019)","plainCitation":"(Bolyen et al., 2019)","noteIndex":0},"citationItems":[{"id":474,"uris":["http://zotero.org/users/6401767/items/JE473XB6"],"itemData":{"id":474,"type":"article-journal","container-title":"Nature Biotechnology","DOI":"10.1038/s41587-019-0209-9","ISSN":"1087-0156, 1546-1696","issue":"8","journalAbbreviation":"Nat Biotechnol","language":"en","page":"852-857","source":"DOI.org (Crossref)","title":"Reproducible,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J."},{"family":"Ul-Hasan","given":"Sabah"},{"family":"Hooft","given":"Justin J. J.","non-dropping-particle":"van der"},{"family":"Vargas","given":"Fernando"},{"family":"Vázquez-Baeza","given":"Yoshiki"},{"family":"Vogtmann","given":"Emily"},{"family":"Hippel","given":"Max","non-dropping-particle":"von"},{"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sidRPr="005E32F5">
        <w:rPr>
          <w:rFonts w:ascii="Times New Roman" w:hAnsi="Times New Roman" w:cs="Times New Roman"/>
        </w:rPr>
        <w:fldChar w:fldCharType="separate"/>
      </w:r>
      <w:r>
        <w:rPr>
          <w:rFonts w:ascii="Times New Roman" w:hAnsi="Times New Roman" w:cs="Times New Roman"/>
          <w:noProof/>
        </w:rPr>
        <w:t>(Bolyen et al., 2019)</w:t>
      </w:r>
      <w:r w:rsidRPr="005E32F5">
        <w:rPr>
          <w:rFonts w:ascii="Times New Roman" w:hAnsi="Times New Roman" w:cs="Times New Roman"/>
        </w:rPr>
        <w:fldChar w:fldCharType="end"/>
      </w:r>
      <w:r w:rsidRPr="005E32F5">
        <w:rPr>
          <w:rFonts w:ascii="Times New Roman" w:hAnsi="Times New Roman" w:cs="Times New Roman"/>
        </w:rPr>
        <w:t xml:space="preserve">. Primers were removed with </w:t>
      </w:r>
      <w:proofErr w:type="spellStart"/>
      <w:r w:rsidRPr="005E32F5">
        <w:rPr>
          <w:rFonts w:ascii="Times New Roman" w:hAnsi="Times New Roman" w:cs="Times New Roman"/>
        </w:rPr>
        <w:t>Cutadapt</w:t>
      </w:r>
      <w:proofErr w:type="spellEnd"/>
      <w:r w:rsidRPr="005E32F5">
        <w:rPr>
          <w:rFonts w:ascii="Times New Roman" w:hAnsi="Times New Roman" w:cs="Times New Roman"/>
        </w:rPr>
        <w:t xml:space="preserve"> v3.5 and sequences then entered the DADA2 pipeline </w:t>
      </w:r>
      <w:r w:rsidRPr="005E32F5">
        <w:rPr>
          <w:rFonts w:ascii="Times New Roman" w:hAnsi="Times New Roman" w:cs="Times New Roman"/>
        </w:rPr>
        <w:fldChar w:fldCharType="begin"/>
      </w:r>
      <w:r>
        <w:rPr>
          <w:rFonts w:ascii="Times New Roman" w:hAnsi="Times New Roman" w:cs="Times New Roman"/>
        </w:rPr>
        <w:instrText xml:space="preserve"> ADDIN ZOTERO_ITEM CSL_CITATION {"citationID":"ZO20rmQt","properties":{"formattedCitation":"(Callahan et al., 2016; Martin, 2011)","plainCitation":"(Callahan et al., 2016; Martin, 2011)","noteIndex":0},"citationItems":[{"id":240,"uris":["http://zotero.org/users/6401767/items/5GB774IM"],"itemData":{"id":240,"type":"article-journal","abstract":"When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color space data. As an easy to use alternative, we developed the command-line tool cutadapt, which supports 454, Illumina and SOLiD (color space) data, offers two adapter trimming algorithms, and has other useful features. Cutadapt, including its MIT-licensed source code, is available for download at http://code.google.com/p/cutadapt/","container-title":"EMBnet.journal","DOI":"10.14806/ej.17.1.200","ISSN":"2226-6089","issue":"1","language":"en","license":"Copyright (c)","note":"number: 1","page":"10-12","source":"journal.embnet.org","title":"Cutadapt removes adapter sequences from high-throughput sequencing reads","volume":"17","author":[{"family":"Martin","given":"Marcel"}],"issued":{"date-parts":[["2011",5,2]]}}},{"id":241,"uris":["http://zotero.org/users/6401767/items/UETS3LSW"],"itemData":{"id":241,"type":"article-journal","abstract":"DADA2 is an open-source software package that denoises and removes sequencing errors from Illumina amplicon sequence data to distinguish microbial sample sequences differing by as little as a single nucleotide.","container-title":"Nature Methods","DOI":"10.1038/nmeth.3869","ISSN":"1548-7105","issue":"7","language":"en","license":"2016 Nature Publishing Group, a division of Macmillan Publishers Limited. All Rights Reserved.","note":"number: 7\npublisher: Nature Publishing Group","page":"581-583","source":"www.nature.com","title":"DADA2: High-resolution sample inference from Illumina amplicon data","title-short":"DADA2","volume":"13","author":[{"family":"Callahan","given":"Benjamin J."},{"family":"McMurdie","given":"Paul J."},{"family":"Rosen","given":"Michael J."},{"family":"Han","given":"Andrew W."},{"family":"Johnson","given":"Amy Jo A."},{"family":"Holmes","given":"Susan P."}],"issued":{"date-parts":[["2016",7]]}}}],"schema":"https://github.com/citation-style-language/schema/raw/master/csl-citation.json"} </w:instrText>
      </w:r>
      <w:r w:rsidRPr="005E32F5">
        <w:rPr>
          <w:rFonts w:ascii="Times New Roman" w:hAnsi="Times New Roman" w:cs="Times New Roman"/>
        </w:rPr>
        <w:fldChar w:fldCharType="separate"/>
      </w:r>
      <w:r>
        <w:rPr>
          <w:rFonts w:ascii="Times New Roman" w:hAnsi="Times New Roman" w:cs="Times New Roman"/>
          <w:noProof/>
        </w:rPr>
        <w:t>(Callahan et al., 2016; Martin, 2011)</w:t>
      </w:r>
      <w:r w:rsidRPr="005E32F5">
        <w:rPr>
          <w:rFonts w:ascii="Times New Roman" w:hAnsi="Times New Roman" w:cs="Times New Roman"/>
        </w:rPr>
        <w:fldChar w:fldCharType="end"/>
      </w:r>
      <w:r w:rsidRPr="005E32F5">
        <w:rPr>
          <w:rFonts w:ascii="Times New Roman" w:hAnsi="Times New Roman" w:cs="Times New Roman"/>
        </w:rPr>
        <w:t xml:space="preserve">. Forward reads were trimmed to 225 bases and reverse reads were trimmed to 215 base pairs. Quality filtering was carried out with a </w:t>
      </w:r>
      <w:proofErr w:type="spellStart"/>
      <w:r w:rsidRPr="005E32F5">
        <w:rPr>
          <w:rFonts w:ascii="Times New Roman" w:hAnsi="Times New Roman" w:cs="Times New Roman"/>
        </w:rPr>
        <w:t>maxEE</w:t>
      </w:r>
      <w:proofErr w:type="spellEnd"/>
      <w:r w:rsidRPr="005E32F5">
        <w:rPr>
          <w:rFonts w:ascii="Times New Roman" w:hAnsi="Times New Roman" w:cs="Times New Roman"/>
        </w:rPr>
        <w:t xml:space="preserve"> threshold of </w:t>
      </w:r>
      <w:proofErr w:type="gramStart"/>
      <w:r w:rsidRPr="005E32F5">
        <w:rPr>
          <w:rFonts w:ascii="Times New Roman" w:hAnsi="Times New Roman" w:cs="Times New Roman"/>
        </w:rPr>
        <w:t>c(</w:t>
      </w:r>
      <w:proofErr w:type="gramEnd"/>
      <w:r w:rsidRPr="005E32F5">
        <w:rPr>
          <w:rFonts w:ascii="Times New Roman" w:hAnsi="Times New Roman" w:cs="Times New Roman"/>
        </w:rPr>
        <w:t xml:space="preserve">2,3) and after correcting errors, paired sequences were merged, dereplicated, and clustered at a 97% sequence similarity before formulating an OTU table and removing chimeras. A </w:t>
      </w:r>
      <w:proofErr w:type="spellStart"/>
      <w:r w:rsidRPr="005E32F5">
        <w:rPr>
          <w:rFonts w:ascii="Times New Roman" w:hAnsi="Times New Roman" w:cs="Times New Roman"/>
        </w:rPr>
        <w:t>sepp</w:t>
      </w:r>
      <w:proofErr w:type="spellEnd"/>
      <w:r w:rsidRPr="005E32F5">
        <w:rPr>
          <w:rFonts w:ascii="Times New Roman" w:hAnsi="Times New Roman" w:cs="Times New Roman"/>
        </w:rPr>
        <w:t xml:space="preserve">-fragment insertion tree was then constructed using the Silva 128 reference database </w:t>
      </w:r>
      <w:r w:rsidRPr="005E32F5">
        <w:rPr>
          <w:rFonts w:ascii="Times New Roman" w:hAnsi="Times New Roman" w:cs="Times New Roman"/>
        </w:rPr>
        <w:fldChar w:fldCharType="begin"/>
      </w:r>
      <w:r>
        <w:rPr>
          <w:rFonts w:ascii="Times New Roman" w:hAnsi="Times New Roman" w:cs="Times New Roman"/>
        </w:rPr>
        <w:instrText xml:space="preserve"> ADDIN ZOTERO_ITEM CSL_CITATION {"citationID":"djaEUrEJ","properties":{"formattedCitation":"(Janssen et al., 2018)","plainCitation":"(Janssen et al., 2018)","noteIndex":0},"citationItems":[{"id":335,"uris":["http://zotero.org/users/6401767/items/YCUV5V4A"],"itemData":{"id":335,"type":"article-journal","abstract":"The move from OTU-based to sOTU-based analysis, while providing additional resolution, also introduces computational challenges. We demonstrate that one popular method of dealing with sOTUs (building a de novo tree from the short sequences) can provide incorrect results in human gut metagenomic studies and show that phylogenetic placement of the new sequences with SEPP resolves this problem while also yielding other benefits over existing methods., Recent algorithmic advances in amplicon-based microbiome studies enable the inference of exact amplicon sequence fragments. These new methods enable the investigation of sub-operational taxonomic units (sOTU) by removing erroneous sequences. However, short (e.g., 150-nucleotide [nt]) DNA sequence fragments do not contain sufficient phylogenetic signal to reproduce a reasonable tree, introducing a barrier in the utilization of critical phylogenetically aware metrics such as Faith’s PD or UniFrac. Although fragment insertion methods do exist, those methods have not been tested for sOTUs from high-throughput amplicon studies in insertions against a broad reference phylogeny. We benchmarked the SATé-enabled phylogenetic placement (SEPP) technique explicitly against 16S V4 sequence fragments and showed that it outperforms the conceptually problematic but often-used practice of reconstructing de novo phylogenies. In addition, we provide a BSD-licensed QIIME2 plugin (https://github.com/biocore/q2-fragment-insertion) for SEPP and integration into the microbial study management platform QIITA., IMPORTANCE The move from OTU-based to sOTU-based analysis, while providing additional resolution, also introduces computational challenges. We demonstrate that one popular method of dealing with sOTUs (building a de novo tree from the short sequences) can provide incorrect results in human gut metagenomic studies and show that phylogenetic placement of the new sequences with SEPP resolves this problem while also yielding other benefits over existing methods.","container-title":"mSystems","DOI":"10.1128/mSystems.00021-18","ISSN":"2379-5077","issue":"3","journalAbbreviation":"mSystems","note":"PMID: 29719869\nPMCID: PMC5904434","page":"e00021-18","source":"PubMed Central","title":"Phylogenetic Placement of Exact Amplicon Sequences Improves Associations with Clinical Information","volume":"3","author":[{"family":"Janssen","given":"Stefan"},{"family":"McDonald","given":"Daniel"},{"family":"Gonzalez","given":"Antonio"},{"family":"Navas-Molina","given":"Jose A."},{"family":"Jiang","given":"Lingjing"},{"family":"Xu","given":"Zhenjiang Zech"},{"family":"Winker","given":"Kevin"},{"family":"Kado","given":"Deborah M."},{"family":"Orwoll","given":"Eric"},{"family":"Manary","given":"Mark"},{"family":"Mirarab","given":"Siavash"},{"family":"Knight","given":"Rob"}],"issued":{"date-parts":[["2018",4,17]]}}}],"schema":"https://github.com/citation-style-language/schema/raw/master/csl-citation.json"} </w:instrText>
      </w:r>
      <w:r w:rsidRPr="005E32F5">
        <w:rPr>
          <w:rFonts w:ascii="Times New Roman" w:hAnsi="Times New Roman" w:cs="Times New Roman"/>
        </w:rPr>
        <w:fldChar w:fldCharType="separate"/>
      </w:r>
      <w:r>
        <w:rPr>
          <w:rFonts w:ascii="Times New Roman" w:hAnsi="Times New Roman" w:cs="Times New Roman"/>
          <w:noProof/>
        </w:rPr>
        <w:t>(Janssen et al., 2018)</w:t>
      </w:r>
      <w:r w:rsidRPr="005E32F5">
        <w:rPr>
          <w:rFonts w:ascii="Times New Roman" w:hAnsi="Times New Roman" w:cs="Times New Roman"/>
        </w:rPr>
        <w:fldChar w:fldCharType="end"/>
      </w:r>
      <w:r w:rsidRPr="005E32F5">
        <w:rPr>
          <w:rFonts w:ascii="Times New Roman" w:hAnsi="Times New Roman" w:cs="Times New Roman"/>
        </w:rPr>
        <w:t xml:space="preserve">, and the phylogeny was time-calibrated using </w:t>
      </w:r>
      <w:proofErr w:type="spellStart"/>
      <w:r w:rsidRPr="005E32F5">
        <w:rPr>
          <w:rFonts w:ascii="Times New Roman" w:hAnsi="Times New Roman" w:cs="Times New Roman"/>
        </w:rPr>
        <w:t>TreePL</w:t>
      </w:r>
      <w:proofErr w:type="spellEnd"/>
      <w:r w:rsidRPr="005E32F5">
        <w:rPr>
          <w:rFonts w:ascii="Times New Roman" w:hAnsi="Times New Roman" w:cs="Times New Roman"/>
        </w:rPr>
        <w:t xml:space="preserve"> </w:t>
      </w:r>
      <w:r w:rsidRPr="005E32F5">
        <w:rPr>
          <w:rFonts w:ascii="Times New Roman" w:hAnsi="Times New Roman" w:cs="Times New Roman"/>
        </w:rPr>
        <w:fldChar w:fldCharType="begin"/>
      </w:r>
      <w:r>
        <w:rPr>
          <w:rFonts w:ascii="Times New Roman" w:hAnsi="Times New Roman" w:cs="Times New Roman"/>
        </w:rPr>
        <w:instrText xml:space="preserve"> ADDIN ZOTERO_ITEM CSL_CITATION {"citationID":"1kelYPJx","properties":{"formattedCitation":"(S. A. Smith &amp; O\\uc0\\u8217{}Meara, 2012)","plainCitation":"(S. A. Smith &amp; O’Meara, 2012)","noteIndex":0},"citationItems":[{"id":333,"uris":["http://zotero.org/users/6401767/items/XKRR7INQ"],"itemData":{"id":333,"type":"article-journal","abstract":"Summary: Ever larger phylogenies are being constructed due to the explosion of genetic data and development of high-performance phylogenetic reconstruction algorithms. However, most methods for calculating divergence times are limited to datasets that are orders of magnitude smaller than recently published large phylogenies. Here, we present an algorithm and implementation of a divergence time method using penalized likelihood that can handle datasets of thousands of taxa. We implement a method that combines the standard derivative-based optimization with a stochastic simulated annealing approach to overcome optimization challenges. We compare this approach with existing software including r8s, PATHd8 and BEAST.Availability: Source code, example files, binaries and documentation for treePL are available at https://github.com/blackrim/treePL.Contact:eebsmith@umich.eduSupplementary information:Supplementary data are available at Bioinformatics online.","container-title":"Bioinformatics","DOI":"10.1093/bioinformatics/bts492","ISSN":"1367-4803","issue":"20","journalAbbreviation":"Bioinformatics","page":"2689-2690","source":"Silverchair","title":"treePL: divergence time estimation using penalized likelihood for large phylogenies","title-short":"treePL","volume":"28","author":[{"family":"Smith","given":"Stephen A."},{"family":"O’Meara","given":"Brian C."}],"issued":{"date-parts":[["2012",10,15]]}}}],"schema":"https://github.com/citation-style-language/schema/raw/master/csl-citation.json"} </w:instrText>
      </w:r>
      <w:r w:rsidRPr="005E32F5">
        <w:rPr>
          <w:rFonts w:ascii="Times New Roman" w:hAnsi="Times New Roman" w:cs="Times New Roman"/>
        </w:rPr>
        <w:fldChar w:fldCharType="separate"/>
      </w:r>
      <w:r w:rsidRPr="004D2321">
        <w:rPr>
          <w:rFonts w:ascii="Times New Roman" w:hAnsi="Times New Roman" w:cs="Times New Roman"/>
        </w:rPr>
        <w:t>(S. A. Smith &amp; O’Meara, 2012)</w:t>
      </w:r>
      <w:r w:rsidRPr="005E32F5">
        <w:rPr>
          <w:rFonts w:ascii="Times New Roman" w:hAnsi="Times New Roman" w:cs="Times New Roman"/>
        </w:rPr>
        <w:fldChar w:fldCharType="end"/>
      </w:r>
      <w:r w:rsidRPr="005E32F5">
        <w:rPr>
          <w:rFonts w:ascii="Times New Roman" w:hAnsi="Times New Roman" w:cs="Times New Roman"/>
        </w:rPr>
        <w:t xml:space="preserve">. The OTU </w:t>
      </w:r>
      <w:r w:rsidR="00EB5909" w:rsidRPr="005E32F5">
        <w:rPr>
          <w:rFonts w:ascii="Times New Roman" w:hAnsi="Times New Roman" w:cs="Times New Roman"/>
        </w:rPr>
        <w:t xml:space="preserve">table was exported, and taxonomy was assigned using the </w:t>
      </w:r>
      <w:proofErr w:type="spellStart"/>
      <w:r w:rsidR="00EB5909" w:rsidRPr="005E32F5">
        <w:rPr>
          <w:rFonts w:ascii="Times New Roman" w:hAnsi="Times New Roman" w:cs="Times New Roman"/>
        </w:rPr>
        <w:t>IDTaxa</w:t>
      </w:r>
      <w:proofErr w:type="spellEnd"/>
      <w:r w:rsidR="00EB5909" w:rsidRPr="005E32F5">
        <w:rPr>
          <w:rFonts w:ascii="Times New Roman" w:hAnsi="Times New Roman" w:cs="Times New Roman"/>
        </w:rPr>
        <w:t xml:space="preserve"> algorithm in R v4.2.0</w:t>
      </w:r>
      <w:r w:rsidR="00EB5909">
        <w:rPr>
          <w:rFonts w:ascii="Times New Roman" w:hAnsi="Times New Roman" w:cs="Times New Roman"/>
        </w:rPr>
        <w:t xml:space="preserve"> </w:t>
      </w:r>
      <w:r w:rsidR="00CF1A69">
        <w:rPr>
          <w:rFonts w:ascii="Times New Roman" w:hAnsi="Times New Roman" w:cs="Times New Roman"/>
        </w:rPr>
        <w:t>in</w:t>
      </w:r>
      <w:r w:rsidR="00EB5909" w:rsidRPr="005E32F5">
        <w:rPr>
          <w:rFonts w:ascii="Times New Roman" w:hAnsi="Times New Roman" w:cs="Times New Roman"/>
        </w:rPr>
        <w:t xml:space="preserve"> the DECIPHER package </w:t>
      </w:r>
      <w:r w:rsidR="00EB5909" w:rsidRPr="005E32F5">
        <w:rPr>
          <w:rFonts w:ascii="Times New Roman" w:hAnsi="Times New Roman" w:cs="Times New Roman"/>
        </w:rPr>
        <w:fldChar w:fldCharType="begin"/>
      </w:r>
      <w:r w:rsidR="00EB5909">
        <w:rPr>
          <w:rFonts w:ascii="Times New Roman" w:hAnsi="Times New Roman" w:cs="Times New Roman"/>
        </w:rPr>
        <w:instrText xml:space="preserve"> ADDIN ZOTERO_ITEM CSL_CITATION {"citationID":"L9pDxB2b","properties":{"formattedCitation":"(Murali et al., 2018; Quast et al., 2013)","plainCitation":"(Murali et al., 2018; Quast et al., 2013)","noteIndex":0},"citationItems":[{"id":237,"uris":["http://zotero.org/users/6401767/items/TUY3S4G4"],"itemData":{"id":237,"type":"article-journal","abstract":"SILVA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approaches.","container-title":"Nucleic Acids Research","DOI":"10.1093/nar/gks1219","ISSN":"0305-1048","issue":"Database issue","journalAbbreviation":"Nucleic Acids Res","note":"PMID: 23193283\nPMCID: PMC3531112","page":"D590-D596","source":"PubMed Central","title":"The SILVA ribosomal RNA gene database project: improved data processing and web-based tools","title-short":"The SILVA ribosomal RNA gene database project","volume":"41","author":[{"family":"Quast","given":"Christian"},{"family":"Pruesse","given":"Elmar"},{"family":"Yilmaz","given":"Pelin"},{"family":"Gerken","given":"Jan"},{"family":"Schweer","given":"Timmy"},{"family":"Yarza","given":"Pablo"},{"family":"Peplies","given":"Jörg"},{"family":"Glöckner","given":"Frank Oliver"}],"issued":{"date-parts":[["2013",1]]}}},{"id":238,"uris":["http://zotero.org/users/6401767/items/P5JBHN9V"],"itemData":{"id":238,"type":"article-journal","abstract":"Microbiome studies often involve sequencing a marker gene to identify the microorganisms in samples of interest. Sequence classification is a critical component of this process, whereby sequences are assigned to a reference taxonomy containing known sequence representatives of many microbial groups. Previous studies have shown that existing classification programs often assign sequences to reference groups even if they belong to novel taxonomic groups that are absent from the reference taxonomy. This high rate of “over classification” is particularly detrimental in microbiome studies because reference taxonomies are far from comprehensive.","container-title":"Microbiome","DOI":"10.1186/s40168-018-0521-5","ISSN":"2049-2618","issue":"1","journalAbbreviation":"Microbiome","page":"140","source":"BioMed Central","title":"IDTAXA: a novel approach for accurate taxonomic classification of microbiome sequences","title-short":"IDTAXA","volume":"6","author":[{"family":"Murali","given":"Adithya"},{"family":"Bhargava","given":"Aniruddha"},{"family":"Wright","given":"Erik S."}],"issued":{"date-parts":[["2018",8,9]]}}}],"schema":"https://github.com/citation-style-language/schema/raw/master/csl-citation.json"} </w:instrText>
      </w:r>
      <w:r w:rsidR="00EB5909" w:rsidRPr="005E32F5">
        <w:rPr>
          <w:rFonts w:ascii="Times New Roman" w:hAnsi="Times New Roman" w:cs="Times New Roman"/>
        </w:rPr>
        <w:fldChar w:fldCharType="separate"/>
      </w:r>
      <w:r w:rsidR="00EB5909">
        <w:rPr>
          <w:rFonts w:ascii="Times New Roman" w:hAnsi="Times New Roman" w:cs="Times New Roman"/>
          <w:noProof/>
        </w:rPr>
        <w:t>(Murali et al., 2018; Quast et al., 2013)</w:t>
      </w:r>
      <w:r w:rsidR="00EB5909" w:rsidRPr="005E32F5">
        <w:rPr>
          <w:rFonts w:ascii="Times New Roman" w:hAnsi="Times New Roman" w:cs="Times New Roman"/>
        </w:rPr>
        <w:fldChar w:fldCharType="end"/>
      </w:r>
      <w:r w:rsidR="00EB5909" w:rsidRPr="005E32F5">
        <w:rPr>
          <w:rFonts w:ascii="Times New Roman" w:hAnsi="Times New Roman" w:cs="Times New Roman"/>
        </w:rPr>
        <w:t>.</w:t>
      </w:r>
      <w:r w:rsidR="00EB5909">
        <w:rPr>
          <w:rFonts w:ascii="Times New Roman" w:hAnsi="Times New Roman" w:cs="Times New Roman"/>
        </w:rPr>
        <w:t xml:space="preserve"> </w:t>
      </w:r>
      <w:r w:rsidR="00EB5909" w:rsidRPr="005E32F5">
        <w:rPr>
          <w:rFonts w:ascii="Times New Roman" w:hAnsi="Times New Roman" w:cs="Times New Roman"/>
        </w:rPr>
        <w:t>Following taxonomic assignment</w:t>
      </w:r>
      <w:r w:rsidR="00EB5909">
        <w:rPr>
          <w:rFonts w:ascii="Times New Roman" w:hAnsi="Times New Roman" w:cs="Times New Roman"/>
        </w:rPr>
        <w:t>,</w:t>
      </w:r>
      <w:r w:rsidR="003C43CF" w:rsidRPr="003C43CF">
        <w:rPr>
          <w:rFonts w:ascii="Times New Roman" w:hAnsi="Times New Roman" w:cs="Times New Roman"/>
        </w:rPr>
        <w:t xml:space="preserve"> </w:t>
      </w:r>
      <w:r w:rsidR="003C43CF" w:rsidRPr="005E32F5">
        <w:rPr>
          <w:rFonts w:ascii="Times New Roman" w:hAnsi="Times New Roman" w:cs="Times New Roman"/>
        </w:rPr>
        <w:t xml:space="preserve">reads assigned to Chloroplast and Mitochondria were removed, as were singletons and </w:t>
      </w:r>
      <w:proofErr w:type="gramStart"/>
      <w:r w:rsidR="003C43CF" w:rsidRPr="005E32F5">
        <w:rPr>
          <w:rFonts w:ascii="Times New Roman" w:hAnsi="Times New Roman" w:cs="Times New Roman"/>
        </w:rPr>
        <w:t>any</w:t>
      </w:r>
      <w:proofErr w:type="gramEnd"/>
    </w:p>
    <w:p w14:paraId="4DBA07FD" w14:textId="66419114" w:rsidR="00FA442E" w:rsidRPr="00491D83" w:rsidRDefault="00FA442E" w:rsidP="00FA442E">
      <w:pPr>
        <w:rPr>
          <w:rFonts w:ascii="Times New Roman" w:hAnsi="Times New Roman" w:cs="Times New Roman"/>
        </w:rPr>
      </w:pPr>
      <w:bookmarkStart w:id="105" w:name="_Toc165028995"/>
      <w:r w:rsidRPr="00491D83">
        <w:rPr>
          <w:rFonts w:ascii="Times New Roman" w:hAnsi="Times New Roman" w:cs="Times New Roman"/>
        </w:rPr>
        <w:lastRenderedPageBreak/>
        <w:t xml:space="preserve">Table </w:t>
      </w:r>
      <w:r w:rsidR="00122B3E">
        <w:rPr>
          <w:rFonts w:ascii="Times New Roman" w:hAnsi="Times New Roman" w:cs="Times New Roman"/>
        </w:rPr>
        <w:fldChar w:fldCharType="begin"/>
      </w:r>
      <w:r w:rsidR="00122B3E">
        <w:rPr>
          <w:rFonts w:ascii="Times New Roman" w:hAnsi="Times New Roman" w:cs="Times New Roman"/>
        </w:rPr>
        <w:instrText xml:space="preserve"> SEQ Table \* ARABIC </w:instrText>
      </w:r>
      <w:r w:rsidR="00122B3E">
        <w:rPr>
          <w:rFonts w:ascii="Times New Roman" w:hAnsi="Times New Roman" w:cs="Times New Roman"/>
        </w:rPr>
        <w:fldChar w:fldCharType="separate"/>
      </w:r>
      <w:r w:rsidR="001648DD">
        <w:rPr>
          <w:rFonts w:ascii="Times New Roman" w:hAnsi="Times New Roman" w:cs="Times New Roman"/>
          <w:noProof/>
        </w:rPr>
        <w:t>5</w:t>
      </w:r>
      <w:r w:rsidR="00122B3E">
        <w:rPr>
          <w:rFonts w:ascii="Times New Roman" w:hAnsi="Times New Roman" w:cs="Times New Roman"/>
        </w:rPr>
        <w:fldChar w:fldCharType="end"/>
      </w:r>
      <w:r w:rsidRPr="00491D83">
        <w:rPr>
          <w:rFonts w:ascii="Times New Roman" w:hAnsi="Times New Roman" w:cs="Times New Roman"/>
        </w:rPr>
        <w:t>: Salamanders sampled in each season and their habitat(s)</w:t>
      </w:r>
      <w:bookmarkEnd w:id="105"/>
      <w:r w:rsidRPr="00491D83">
        <w:rPr>
          <w:rFonts w:ascii="Times New Roman" w:hAnsi="Times New Roman" w:cs="Times New Roman"/>
        </w:rPr>
        <w:t xml:space="preserve"> </w:t>
      </w:r>
    </w:p>
    <w:tbl>
      <w:tblPr>
        <w:tblpPr w:leftFromText="180" w:rightFromText="180" w:vertAnchor="text" w:horzAnchor="page" w:tblpX="2265" w:tblpY="347"/>
        <w:tblW w:w="6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066"/>
        <w:gridCol w:w="2067"/>
        <w:gridCol w:w="2067"/>
      </w:tblGrid>
      <w:tr w:rsidR="00EB5909" w:rsidRPr="007B5A0E" w14:paraId="3991218D" w14:textId="77777777" w:rsidTr="00EB5909">
        <w:trPr>
          <w:trHeight w:val="432"/>
        </w:trPr>
        <w:tc>
          <w:tcPr>
            <w:tcW w:w="206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851CE8F" w14:textId="77777777" w:rsidR="00EB5909" w:rsidRPr="007B5A0E" w:rsidRDefault="00EB5909" w:rsidP="00EB5909">
            <w:pPr>
              <w:jc w:val="center"/>
              <w:rPr>
                <w:rFonts w:ascii="Times New Roman" w:hAnsi="Times New Roman" w:cs="Times New Roman"/>
              </w:rPr>
            </w:pPr>
          </w:p>
        </w:tc>
        <w:tc>
          <w:tcPr>
            <w:tcW w:w="4134" w:type="dxa"/>
            <w:gridSpan w:val="2"/>
            <w:tcBorders>
              <w:left w:val="single" w:sz="4" w:space="0" w:color="auto"/>
            </w:tcBorders>
            <w:shd w:val="clear" w:color="auto" w:fill="D9D9D9" w:themeFill="background1" w:themeFillShade="D9"/>
            <w:tcMar>
              <w:top w:w="15" w:type="dxa"/>
              <w:left w:w="15" w:type="dxa"/>
              <w:bottom w:w="0" w:type="dxa"/>
              <w:right w:w="15" w:type="dxa"/>
            </w:tcMar>
            <w:vAlign w:val="center"/>
          </w:tcPr>
          <w:p w14:paraId="156E0A62"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Habitat</w:t>
            </w:r>
          </w:p>
        </w:tc>
      </w:tr>
      <w:tr w:rsidR="00EB5909" w:rsidRPr="007B5A0E" w14:paraId="5C04303E" w14:textId="77777777" w:rsidTr="00EB5909">
        <w:trPr>
          <w:trHeight w:val="432"/>
        </w:trPr>
        <w:tc>
          <w:tcPr>
            <w:tcW w:w="2066" w:type="dxa"/>
            <w:tcBorders>
              <w:top w:val="single" w:sz="4" w:space="0" w:color="auto"/>
            </w:tcBorders>
            <w:shd w:val="clear" w:color="auto" w:fill="D9D9D9" w:themeFill="background1" w:themeFillShade="D9"/>
            <w:tcMar>
              <w:top w:w="15" w:type="dxa"/>
              <w:left w:w="15" w:type="dxa"/>
              <w:bottom w:w="0" w:type="dxa"/>
              <w:right w:w="15" w:type="dxa"/>
            </w:tcMar>
            <w:vAlign w:val="center"/>
            <w:hideMark/>
          </w:tcPr>
          <w:p w14:paraId="0FC0F0CC"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Season</w:t>
            </w:r>
          </w:p>
        </w:tc>
        <w:tc>
          <w:tcPr>
            <w:tcW w:w="2067" w:type="dxa"/>
            <w:shd w:val="clear" w:color="auto" w:fill="auto"/>
            <w:tcMar>
              <w:top w:w="15" w:type="dxa"/>
              <w:left w:w="15" w:type="dxa"/>
              <w:bottom w:w="0" w:type="dxa"/>
              <w:right w:w="15" w:type="dxa"/>
            </w:tcMar>
            <w:vAlign w:val="center"/>
            <w:hideMark/>
          </w:tcPr>
          <w:p w14:paraId="77E27C07"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Terrestrial</w:t>
            </w:r>
          </w:p>
        </w:tc>
        <w:tc>
          <w:tcPr>
            <w:tcW w:w="2067" w:type="dxa"/>
            <w:shd w:val="clear" w:color="auto" w:fill="auto"/>
            <w:tcMar>
              <w:top w:w="15" w:type="dxa"/>
              <w:left w:w="15" w:type="dxa"/>
              <w:bottom w:w="0" w:type="dxa"/>
              <w:right w:w="15" w:type="dxa"/>
            </w:tcMar>
            <w:vAlign w:val="center"/>
            <w:hideMark/>
          </w:tcPr>
          <w:p w14:paraId="46BD020B"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Aquatic</w:t>
            </w:r>
          </w:p>
        </w:tc>
      </w:tr>
      <w:tr w:rsidR="00EB5909" w:rsidRPr="007B5A0E" w14:paraId="5860F12D" w14:textId="77777777" w:rsidTr="00EB5909">
        <w:trPr>
          <w:trHeight w:val="432"/>
        </w:trPr>
        <w:tc>
          <w:tcPr>
            <w:tcW w:w="2066" w:type="dxa"/>
            <w:shd w:val="clear" w:color="auto" w:fill="FFFFFF" w:themeFill="background1"/>
            <w:tcMar>
              <w:top w:w="15" w:type="dxa"/>
              <w:left w:w="15" w:type="dxa"/>
              <w:bottom w:w="0" w:type="dxa"/>
              <w:right w:w="15" w:type="dxa"/>
            </w:tcMar>
            <w:vAlign w:val="center"/>
            <w:hideMark/>
          </w:tcPr>
          <w:p w14:paraId="27BBA8F8"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Spring</w:t>
            </w:r>
          </w:p>
        </w:tc>
        <w:tc>
          <w:tcPr>
            <w:tcW w:w="2067" w:type="dxa"/>
            <w:shd w:val="clear" w:color="auto" w:fill="auto"/>
            <w:tcMar>
              <w:top w:w="15" w:type="dxa"/>
              <w:left w:w="15" w:type="dxa"/>
              <w:bottom w:w="0" w:type="dxa"/>
              <w:right w:w="15" w:type="dxa"/>
            </w:tcMar>
            <w:vAlign w:val="center"/>
            <w:hideMark/>
          </w:tcPr>
          <w:p w14:paraId="654E01E4"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1</w:t>
            </w:r>
          </w:p>
        </w:tc>
        <w:tc>
          <w:tcPr>
            <w:tcW w:w="2067" w:type="dxa"/>
            <w:shd w:val="clear" w:color="auto" w:fill="auto"/>
            <w:tcMar>
              <w:top w:w="15" w:type="dxa"/>
              <w:left w:w="15" w:type="dxa"/>
              <w:bottom w:w="0" w:type="dxa"/>
              <w:right w:w="15" w:type="dxa"/>
            </w:tcMar>
            <w:vAlign w:val="center"/>
            <w:hideMark/>
          </w:tcPr>
          <w:p w14:paraId="7CAB72D3"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7</w:t>
            </w:r>
          </w:p>
        </w:tc>
      </w:tr>
      <w:tr w:rsidR="00EB5909" w:rsidRPr="007B5A0E" w14:paraId="37BF1E17" w14:textId="77777777" w:rsidTr="003D58F0">
        <w:trPr>
          <w:trHeight w:val="432"/>
        </w:trPr>
        <w:tc>
          <w:tcPr>
            <w:tcW w:w="2066" w:type="dxa"/>
            <w:shd w:val="clear" w:color="auto" w:fill="F2F2F2" w:themeFill="background1" w:themeFillShade="F2"/>
            <w:tcMar>
              <w:top w:w="15" w:type="dxa"/>
              <w:left w:w="15" w:type="dxa"/>
              <w:bottom w:w="0" w:type="dxa"/>
              <w:right w:w="15" w:type="dxa"/>
            </w:tcMar>
            <w:vAlign w:val="center"/>
            <w:hideMark/>
          </w:tcPr>
          <w:p w14:paraId="1A11342D"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Summer</w:t>
            </w:r>
          </w:p>
        </w:tc>
        <w:tc>
          <w:tcPr>
            <w:tcW w:w="2067" w:type="dxa"/>
            <w:shd w:val="clear" w:color="auto" w:fill="F2F2F2" w:themeFill="background1" w:themeFillShade="F2"/>
            <w:tcMar>
              <w:top w:w="15" w:type="dxa"/>
              <w:left w:w="15" w:type="dxa"/>
              <w:bottom w:w="0" w:type="dxa"/>
              <w:right w:w="15" w:type="dxa"/>
            </w:tcMar>
            <w:vAlign w:val="center"/>
            <w:hideMark/>
          </w:tcPr>
          <w:p w14:paraId="210B5A3F"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9</w:t>
            </w:r>
          </w:p>
        </w:tc>
        <w:tc>
          <w:tcPr>
            <w:tcW w:w="2067" w:type="dxa"/>
            <w:shd w:val="clear" w:color="auto" w:fill="F2F2F2" w:themeFill="background1" w:themeFillShade="F2"/>
            <w:tcMar>
              <w:top w:w="15" w:type="dxa"/>
              <w:left w:w="15" w:type="dxa"/>
              <w:bottom w:w="0" w:type="dxa"/>
              <w:right w:w="15" w:type="dxa"/>
            </w:tcMar>
            <w:vAlign w:val="center"/>
            <w:hideMark/>
          </w:tcPr>
          <w:p w14:paraId="4B91E9B2"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0</w:t>
            </w:r>
          </w:p>
        </w:tc>
      </w:tr>
      <w:tr w:rsidR="00EB5909" w:rsidRPr="007B5A0E" w14:paraId="341122F7" w14:textId="77777777" w:rsidTr="00EB5909">
        <w:trPr>
          <w:trHeight w:val="432"/>
        </w:trPr>
        <w:tc>
          <w:tcPr>
            <w:tcW w:w="2066" w:type="dxa"/>
            <w:shd w:val="clear" w:color="auto" w:fill="FFFFFF" w:themeFill="background1"/>
            <w:tcMar>
              <w:top w:w="15" w:type="dxa"/>
              <w:left w:w="15" w:type="dxa"/>
              <w:bottom w:w="0" w:type="dxa"/>
              <w:right w:w="15" w:type="dxa"/>
            </w:tcMar>
            <w:vAlign w:val="center"/>
            <w:hideMark/>
          </w:tcPr>
          <w:p w14:paraId="39F23CAF"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Fall</w:t>
            </w:r>
          </w:p>
        </w:tc>
        <w:tc>
          <w:tcPr>
            <w:tcW w:w="2067" w:type="dxa"/>
            <w:shd w:val="clear" w:color="auto" w:fill="auto"/>
            <w:tcMar>
              <w:top w:w="15" w:type="dxa"/>
              <w:left w:w="15" w:type="dxa"/>
              <w:bottom w:w="0" w:type="dxa"/>
              <w:right w:w="15" w:type="dxa"/>
            </w:tcMar>
            <w:vAlign w:val="center"/>
            <w:hideMark/>
          </w:tcPr>
          <w:p w14:paraId="1D0EE7BC"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8</w:t>
            </w:r>
          </w:p>
        </w:tc>
        <w:tc>
          <w:tcPr>
            <w:tcW w:w="2067" w:type="dxa"/>
            <w:shd w:val="clear" w:color="auto" w:fill="auto"/>
            <w:tcMar>
              <w:top w:w="15" w:type="dxa"/>
              <w:left w:w="15" w:type="dxa"/>
              <w:bottom w:w="0" w:type="dxa"/>
              <w:right w:w="15" w:type="dxa"/>
            </w:tcMar>
            <w:vAlign w:val="center"/>
            <w:hideMark/>
          </w:tcPr>
          <w:p w14:paraId="5FDCC8D3"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1</w:t>
            </w:r>
          </w:p>
        </w:tc>
      </w:tr>
      <w:tr w:rsidR="00EB5909" w:rsidRPr="007B5A0E" w14:paraId="7FDE4ABD" w14:textId="77777777" w:rsidTr="003D58F0">
        <w:trPr>
          <w:trHeight w:val="432"/>
        </w:trPr>
        <w:tc>
          <w:tcPr>
            <w:tcW w:w="2066" w:type="dxa"/>
            <w:shd w:val="clear" w:color="auto" w:fill="F2F2F2" w:themeFill="background1" w:themeFillShade="F2"/>
            <w:tcMar>
              <w:top w:w="15" w:type="dxa"/>
              <w:left w:w="15" w:type="dxa"/>
              <w:bottom w:w="0" w:type="dxa"/>
              <w:right w:w="15" w:type="dxa"/>
            </w:tcMar>
            <w:vAlign w:val="center"/>
            <w:hideMark/>
          </w:tcPr>
          <w:p w14:paraId="10772F2E" w14:textId="77777777" w:rsidR="00EB5909" w:rsidRPr="007B5A0E" w:rsidRDefault="00EB5909" w:rsidP="00EB5909">
            <w:pPr>
              <w:jc w:val="center"/>
              <w:rPr>
                <w:rFonts w:ascii="Times New Roman" w:hAnsi="Times New Roman" w:cs="Times New Roman"/>
                <w:b/>
                <w:bCs/>
              </w:rPr>
            </w:pPr>
            <w:r w:rsidRPr="007B5A0E">
              <w:rPr>
                <w:rFonts w:ascii="Times New Roman" w:hAnsi="Times New Roman" w:cs="Times New Roman"/>
                <w:b/>
                <w:bCs/>
              </w:rPr>
              <w:t>Winter</w:t>
            </w:r>
          </w:p>
        </w:tc>
        <w:tc>
          <w:tcPr>
            <w:tcW w:w="2067" w:type="dxa"/>
            <w:shd w:val="clear" w:color="auto" w:fill="F2F2F2" w:themeFill="background1" w:themeFillShade="F2"/>
            <w:tcMar>
              <w:top w:w="15" w:type="dxa"/>
              <w:left w:w="15" w:type="dxa"/>
              <w:bottom w:w="0" w:type="dxa"/>
              <w:right w:w="15" w:type="dxa"/>
            </w:tcMar>
            <w:vAlign w:val="center"/>
            <w:hideMark/>
          </w:tcPr>
          <w:p w14:paraId="4759BC32"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1</w:t>
            </w:r>
          </w:p>
        </w:tc>
        <w:tc>
          <w:tcPr>
            <w:tcW w:w="2067" w:type="dxa"/>
            <w:shd w:val="clear" w:color="auto" w:fill="F2F2F2" w:themeFill="background1" w:themeFillShade="F2"/>
            <w:tcMar>
              <w:top w:w="15" w:type="dxa"/>
              <w:left w:w="15" w:type="dxa"/>
              <w:bottom w:w="0" w:type="dxa"/>
              <w:right w:w="15" w:type="dxa"/>
            </w:tcMar>
            <w:vAlign w:val="center"/>
            <w:hideMark/>
          </w:tcPr>
          <w:p w14:paraId="5895A4C0" w14:textId="77777777" w:rsidR="00EB5909" w:rsidRPr="007B5A0E" w:rsidRDefault="00EB5909" w:rsidP="00EB5909">
            <w:pPr>
              <w:jc w:val="center"/>
              <w:rPr>
                <w:rFonts w:ascii="Times New Roman" w:hAnsi="Times New Roman" w:cs="Times New Roman"/>
              </w:rPr>
            </w:pPr>
            <w:r w:rsidRPr="007B5A0E">
              <w:rPr>
                <w:rFonts w:ascii="Times New Roman" w:hAnsi="Times New Roman" w:cs="Times New Roman"/>
              </w:rPr>
              <w:t>7</w:t>
            </w:r>
          </w:p>
        </w:tc>
      </w:tr>
    </w:tbl>
    <w:p w14:paraId="124284BA" w14:textId="77777777" w:rsidR="00FA442E" w:rsidRDefault="00FA442E">
      <w:pPr>
        <w:rPr>
          <w:rFonts w:ascii="Times New Roman" w:hAnsi="Times New Roman" w:cs="Times New Roman"/>
        </w:rPr>
      </w:pPr>
      <w:r>
        <w:rPr>
          <w:rFonts w:ascii="Times New Roman" w:hAnsi="Times New Roman" w:cs="Times New Roman"/>
        </w:rPr>
        <w:br w:type="page"/>
      </w:r>
    </w:p>
    <w:p w14:paraId="2B363C5A" w14:textId="02D7FD87" w:rsidR="00FA442E" w:rsidRDefault="00FA442E" w:rsidP="00FA442E">
      <w:pPr>
        <w:spacing w:line="360" w:lineRule="auto"/>
        <w:rPr>
          <w:rFonts w:ascii="Times New Roman" w:hAnsi="Times New Roman" w:cs="Times New Roman"/>
        </w:rPr>
      </w:pPr>
      <w:r w:rsidRPr="005E32F5">
        <w:rPr>
          <w:rFonts w:ascii="Times New Roman" w:hAnsi="Times New Roman" w:cs="Times New Roman"/>
        </w:rPr>
        <w:lastRenderedPageBreak/>
        <w:t xml:space="preserve">sequence not between 400 and 428bp long. We then used sterile water from the field and extraction/PCR blanks to assess contamination, which resulted in the removal of 23 OTUs using the </w:t>
      </w:r>
      <w:proofErr w:type="spellStart"/>
      <w:r w:rsidRPr="005E32F5">
        <w:rPr>
          <w:rFonts w:ascii="Times New Roman" w:hAnsi="Times New Roman" w:cs="Times New Roman"/>
        </w:rPr>
        <w:t>decontam</w:t>
      </w:r>
      <w:proofErr w:type="spellEnd"/>
      <w:r w:rsidRPr="005E32F5">
        <w:rPr>
          <w:rFonts w:ascii="Times New Roman" w:hAnsi="Times New Roman" w:cs="Times New Roman"/>
        </w:rPr>
        <w:t xml:space="preserve"> package </w:t>
      </w:r>
      <w:r w:rsidRPr="005E32F5">
        <w:rPr>
          <w:rFonts w:ascii="Times New Roman" w:hAnsi="Times New Roman" w:cs="Times New Roman"/>
        </w:rPr>
        <w:fldChar w:fldCharType="begin"/>
      </w:r>
      <w:r>
        <w:rPr>
          <w:rFonts w:ascii="Times New Roman" w:hAnsi="Times New Roman" w:cs="Times New Roman"/>
        </w:rPr>
        <w:instrText xml:space="preserve"> ADDIN ZOTERO_ITEM CSL_CITATION {"citationID":"1ulmnkhh","properties":{"formattedCitation":"(Davis et al., 2018)","plainCitation":"(Davis et al., 2018)","noteIndex":0},"citationItems":[{"id":234,"uris":["http://zotero.org/users/6401767/items/T4AJFXW6"],"itemData":{"id":234,"type":"article-journal","abstract":"The accuracy of microbial community surveys based on marker-gene and metagenomic sequencing (MGS) suffers from the presence of contaminants—DNA sequences not truly present in the sample. Contaminants come from various sources, including reagents. Appropriate laboratory practices can reduce contamination, but do not eliminate it. Here we introduce decontam (https://github.com/benjjneb/decontam), an open-source R package that implements a statistical classification procedure that identifies contaminants in MGS data based on two widely reproduced patterns: contaminants appear at higher frequencies in low-concentration samples and are often found in negative controls.","container-title":"Microbiome","DOI":"10.1186/s40168-018-0605-2","ISSN":"2049-2618","issue":"1","journalAbbreviation":"Microbiome","page":"226","source":"BioMed Central","title":"Simple statistical identification and removal of contaminant sequences in marker-gene and metagenomics data","volume":"6","author":[{"family":"Davis","given":"Nicole M."},{"family":"Proctor","given":"Diana M."},{"family":"Holmes","given":"Susan P."},{"family":"Relman","given":"David A."},{"family":"Callahan","given":"Benjamin J."}],"issued":{"date-parts":[["2018",12,17]]}}}],"schema":"https://github.com/citation-style-language/schema/raw/master/csl-citation.json"} </w:instrText>
      </w:r>
      <w:r w:rsidRPr="005E32F5">
        <w:rPr>
          <w:rFonts w:ascii="Times New Roman" w:hAnsi="Times New Roman" w:cs="Times New Roman"/>
        </w:rPr>
        <w:fldChar w:fldCharType="separate"/>
      </w:r>
      <w:r>
        <w:rPr>
          <w:rFonts w:ascii="Times New Roman" w:hAnsi="Times New Roman" w:cs="Times New Roman"/>
          <w:noProof/>
        </w:rPr>
        <w:t>(Davis et al., 2018)</w:t>
      </w:r>
      <w:r w:rsidRPr="005E32F5">
        <w:rPr>
          <w:rFonts w:ascii="Times New Roman" w:hAnsi="Times New Roman" w:cs="Times New Roman"/>
        </w:rPr>
        <w:fldChar w:fldCharType="end"/>
      </w:r>
      <w:r w:rsidRPr="005E32F5">
        <w:rPr>
          <w:rFonts w:ascii="Times New Roman" w:hAnsi="Times New Roman" w:cs="Times New Roman"/>
        </w:rPr>
        <w:t xml:space="preserve">. </w:t>
      </w:r>
      <w:r w:rsidR="009835B0" w:rsidRPr="005E32F5">
        <w:rPr>
          <w:rFonts w:ascii="Times New Roman" w:hAnsi="Times New Roman" w:cs="Times New Roman"/>
        </w:rPr>
        <w:t>Additionally, any sample containing fewer reads than a ‘blank’ was discarded. The final dataset used for analyses contained 2,261,552 reads mapped to 17,667 OTUs in 67 samples, 33 of which were salamander cover object pairs in aquatic or terrestrial habitats seasonally</w:t>
      </w:r>
      <w:r w:rsidR="009835B0">
        <w:rPr>
          <w:rFonts w:ascii="Times New Roman" w:hAnsi="Times New Roman" w:cs="Times New Roman"/>
        </w:rPr>
        <w:t>.</w:t>
      </w:r>
    </w:p>
    <w:p w14:paraId="07E6AABA" w14:textId="77777777" w:rsidR="009835B0" w:rsidRPr="00491D83" w:rsidRDefault="009835B0" w:rsidP="009835B0">
      <w:pPr>
        <w:pStyle w:val="Heading3"/>
        <w:rPr>
          <w:rFonts w:ascii="Times New Roman" w:hAnsi="Times New Roman" w:cs="Times New Roman"/>
          <w:b w:val="0"/>
          <w:bCs w:val="0"/>
          <w:i w:val="0"/>
          <w:iCs/>
        </w:rPr>
      </w:pPr>
      <w:bookmarkStart w:id="106" w:name="_Toc165028083"/>
      <w:r w:rsidRPr="00491D83">
        <w:rPr>
          <w:rFonts w:ascii="Times New Roman" w:hAnsi="Times New Roman" w:cs="Times New Roman"/>
          <w:b w:val="0"/>
          <w:bCs w:val="0"/>
          <w:iCs/>
        </w:rPr>
        <w:t>Diversity within and between samples</w:t>
      </w:r>
      <w:bookmarkEnd w:id="106"/>
    </w:p>
    <w:p w14:paraId="11A2CE57" w14:textId="77777777" w:rsidR="00EB5909" w:rsidRDefault="009835B0" w:rsidP="00D24CDA">
      <w:pPr>
        <w:spacing w:line="360" w:lineRule="auto"/>
        <w:ind w:firstLine="720"/>
        <w:rPr>
          <w:rFonts w:ascii="Times New Roman" w:hAnsi="Times New Roman" w:cs="Times New Roman"/>
        </w:rPr>
      </w:pPr>
      <w:r w:rsidRPr="005E32F5">
        <w:rPr>
          <w:rFonts w:ascii="Times New Roman" w:hAnsi="Times New Roman" w:cs="Times New Roman"/>
        </w:rPr>
        <w:t xml:space="preserve">Taxonomic and phylogenetic alpha diversity were used to assess the seasonal changes in within-sample diversity of salamander-associated communities and communities found on cover objects. Host-associated communities can vary seasonally from lower body temperature and host activity but could also reflect dormancy of environmental assemblages and decreased immigration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{"citationID":"3xPti6p4","properties":{"formattedCitation":"(Le Sage et al., 2021; Shade et al., 2012; Tong et al., 2020)","plainCitation":"(Le Sage et al., 2021; Shade et al., 2012; Tong et al., 2020)","noteIndex":0},"citationItems":[{"id":387,"uris":["http://zotero.org/users/6401767/items/T25J22VI"],"itemData":{"id":387,"type":"article-journal","abstract":"Microbial communities are at the heart of all ecosystems, and yet microbial community behavior in disturbed environments remains difficult to measure and predict. Understanding the drivers of microbial community stability, including resistance (insensitivity to disturbance) and resilience (the rate of recovery after disturbance) is important for predicting community response to disturbance. Here, we provide an overview of the concepts of stability that are relevant for microbial communities. First, we highlight insights from ecology that are useful for defining and measuring stability. To determine whether general disturbance responses exist for microbial communities, we next examine representative studies from the literature that investigated community responses to press (long-term) and pulse (short-term) disturbances in a variety of habitats. Then we discuss the biological features of individual microorganisms, of microbial populations, and of microbial communities that may govern overall community stability. We conclude with thoughts about the unique insights that systems perspectives – informed by meta-omics data – may provide about microbial community stability.","container-title":"Frontiers in Microbiology","ISSN":"1664-302X","source":"Frontiers","title":"Fundamentals of Microbial Community Resistance and Resilience","URL":"https://www.frontiersin.org/articles/10.3389/fmicb.2012.00417","volume":"3","author":[{"family":"Shade","given":"Ashley"},{"family":"Peter","given":"Hannes"},{"family":"Allison","given":"Steven"},{"family":"Baho","given":"Didier"},{"family":"Berga","given":"Mercé"},{"family":"Buergmann","given":"Helmut"},{"family":"Huber","given":"David"},{"family":"Langenheder","given":"Silke"},{"family":"Lennon","given":"Jay"},{"family":"Martiny","given":"Jennifer"},{"family":"Matulich","given":"Kristin"},{"family":"Schmidt","given":"Thomas"},{"family":"Handelsman","given":"Jo"}],"accessed":{"date-parts":[["2024",1,27]]},"issued":{"date-parts":[["2012"]]}}},{"id":273,"uris":["http://zotero.org/users/6401767/items/VKRCI4YJ"],"itemData":{"id":273,"type":"article-journal","abstract":"Accurately predicting the impacts of climate change on wildlife health requires a deeper understanding of seasonal rhythms in host–pathogen interactions. The amphibian pathogen, Batrachochytrium dendrobatidis (Bd), exhibits seasonality in incidence; however, the role that biological rhythms in host defences play in defining this pattern remains largely unknown. The aim of this study was to examine whether host immune and microbiome defences against Bd correspond with infection risk and seasonal fluctuations in temperature and humidity. Over the course of a year, five populations of Southern leopard frogs (Rana [Lithobates] sphenocephala) in Tennessee, United States, were surveyed for host immunity, microbiome and pathogen dynamics. Frogs were swabbed for pathogen load and skin bacterial diversity and stimulated to release stored antimicrobial peptides (AMPs). Secretions were analysed to estimate total hydrophobic peptide concentrations, presence of known AMPs and effectiveness of Bd growth inhibition in vitro. The diversity and proportion of bacterial reads with a 99% match to sequences of isolates known to inhibit Bd growth in vitro were used as an estimate of predicted anti-Bd function of the skin microbiome. Batrachochytrium dendrobatidis dynamics followed the expected seasonal fluctuations—peaks in cooler months—which coincided with when host mucosal defences were most potent against Bd. Specifically, the concentration and expression of stored AMPs cycled synchronously with Bd dynamics. Although microbiome changes followed more linear trends over time, the proportion of bacteria that can function to inhibit Bd growth was greatest when risk of Bd infection was highest. We interpret the increase in peptide storage in the fall and the shift to a more anti-Bd microbiome over winter as a preparatory response for subsequent infection risk during the colder periods when AMP synthesis and bacterial growth is slow and pathogen pressure from this cool-adapted fungus is high. Given that a decrease in stored AMP concentrations as temperatures warm in spring likely means greater secretion rates, the subsequent decrease in prevalence suggests seasonality of Bd in this host may be in part regulated by annual immune rhythms, and dominated by the effects of temperature.","container-title":"Journal of Animal Ecology","DOI":"10.1111/1365-2656.13386","ISSN":"1365-2656","issue":"2","language":"en","note":"_eprint: https://onlinelibrary.wiley.com/doi/pdf/10.1111/1365-2656.13386","page":"542-554","source":"Wiley Online Library","title":"Preparatory immunity: Seasonality of mucosal skin defences and Batrachochytrium infections in Southern leopard frogs","title-short":"Preparatory immunity","volume":"90","author":[{"family":"Le Sage","given":"Emily H."},{"family":"LaBumbard","given":"Brandon C."},{"family":"Reinert","given":"Laura K."},{"family":"Miller","given":"Brian T."},{"family":"Richards-Zawacki","given":"Corinne L."},{"family":"Woodhams","given":"Doug C."},{"family":"Rollins-Smith","given":"Louise A."}],"issued":{"date-parts":[["2021"]]}}},{"id":178,"uris":["http://zotero.org/users/6401767/items/MEFHZUU6"],"itemData":{"id":178,"type":"article-journal","abstract":"Both the gut and skin microbiotas have important functions for amphibians. The gut microbiota plays an important role in both the health and evolution of the host species, whereas the role of skin microbiota in disease resistance is particularly important for amphibians. Many studies have examined the effects of environmental factors on the skin and gut microbiotas, but no study has yet explored the similarities between the skin and gut microbiotas. In this study, the gut and skin microbiotas of Rana dybowskii in summer and winter were investigated via high-throughput Illumina sequencing. The results showed that the alpha diversity of gut and skin microbiotas decreased significantly from summer to winter. In both seasons, the microbial composition and structure differed significantly between the gut and skin, and the similarities between these microbiotas differed between seasons. The pairwise distances between the gut and skin microbiotas were greater in winter than in summer. The ratio of core OTUs and shared OTUs to the sum of the OTUs in the gut and skin microbiotas in summer was significantly higher than that in winter. The similarities between the gut and skin microbiotas are important for understanding amphibian ecology and life history.","container-title":"Microbial Ecology","DOI":"10.1007/s00248-019-01466-9","ISSN":"0095-3628, 1432-184X","issue":"4","journalAbbreviation":"Microb Ecol","language":"en","page":"898-909","source":"DOI.org (Crossref)","title":"Effects of Seasonal Hibernation on the Similarities Between the Skin Microbiota and Gut Microbiota of an Amphibian (Rana dybowskii)","volume":"79","author":[{"family":"Tong","given":"Qing"},{"family":"Hu","given":"Zong-fu"},{"family":"Du","given":"Xiao-peng"},{"family":"Bie","given":"Jia"},{"family":"Wang","given":"Hong-bin"}],"issued":{"date-parts":[["2020",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(Le Sage et al., 2021; Shade et al., 2012; Tong et al., 2020)</w:t>
      </w:r>
      <w:r w:rsidRPr="005E32F5">
        <w:rPr>
          <w:rFonts w:ascii="Times New Roman" w:hAnsi="Times New Roman" w:cs="Times New Roman"/>
        </w:rPr>
        <w:fldChar w:fldCharType="end"/>
      </w:r>
      <w:r w:rsidRPr="005E32F5">
        <w:rPr>
          <w:rFonts w:ascii="Times New Roman" w:hAnsi="Times New Roman" w:cs="Times New Roman"/>
        </w:rPr>
        <w:t>. For taxonomic alpha diversity, we used three orders of diversity (Hill Numbers) representing the richness (</w:t>
      </w:r>
      <w:r w:rsidRPr="005E32F5">
        <w:rPr>
          <w:rFonts w:ascii="Times New Roman" w:hAnsi="Times New Roman" w:cs="Times New Roman"/>
          <w:i/>
          <w:iCs/>
        </w:rPr>
        <w:t>q=0</w:t>
      </w:r>
      <w:r w:rsidRPr="005E32F5">
        <w:rPr>
          <w:rFonts w:ascii="Times New Roman" w:hAnsi="Times New Roman" w:cs="Times New Roman"/>
        </w:rPr>
        <w:t>), exponentiated Shannon Index</w:t>
      </w:r>
      <w:r w:rsidRPr="005E32F5">
        <w:rPr>
          <w:rFonts w:ascii="Times New Roman" w:hAnsi="Times New Roman" w:cs="Times New Roman"/>
          <w:i/>
          <w:iCs/>
        </w:rPr>
        <w:t xml:space="preserve"> </w:t>
      </w:r>
      <w:r w:rsidRPr="005E32F5">
        <w:rPr>
          <w:rFonts w:ascii="Times New Roman" w:hAnsi="Times New Roman" w:cs="Times New Roman"/>
        </w:rPr>
        <w:t>(</w:t>
      </w:r>
      <w:r w:rsidRPr="005E32F5">
        <w:rPr>
          <w:rFonts w:ascii="Times New Roman" w:hAnsi="Times New Roman" w:cs="Times New Roman"/>
          <w:i/>
          <w:iCs/>
        </w:rPr>
        <w:t>q=1</w:t>
      </w:r>
      <w:r w:rsidRPr="005E32F5">
        <w:rPr>
          <w:rFonts w:ascii="Times New Roman" w:hAnsi="Times New Roman" w:cs="Times New Roman"/>
        </w:rPr>
        <w:t>), and scaled probability of interspecific encounter (</w:t>
      </w:r>
      <w:r w:rsidRPr="005E32F5">
        <w:rPr>
          <w:rFonts w:ascii="Times New Roman" w:hAnsi="Times New Roman" w:cs="Times New Roman"/>
          <w:i/>
          <w:iCs/>
        </w:rPr>
        <w:t>q=2</w:t>
      </w:r>
      <w:r w:rsidRPr="005E32F5">
        <w:rPr>
          <w:rFonts w:ascii="Times New Roman" w:hAnsi="Times New Roman" w:cs="Times New Roman"/>
        </w:rPr>
        <w:t xml:space="preserv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{"citationID":"nuBurKr8","properties":{"formattedCitation":"(M. O. Hill, 1973; Jost, 2006)","plainCitation":"(M. O. Hill, 1973; Jost, 2006)","noteIndex":0},"citationItems":[{"id":217,"uris":["http://zotero.org/users/6401767/items/5B8W7WU6"],"itemData":{"id":217,"type":"article-journal","abstract":"Three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derived.","archive":"JSTOR","container-title":"Ecology","DOI":"10.2307/1934352","ISSN":"0012-9658","issue":"2","note":"publisher: Ecological Society of America","page":"427-432","source":"JSTOR","title":"Diversity and Evenness: A Unifying Notation and Its Consequences","title-short":"Diversity and Evenness","volume":"54","author":[{"family":"Hill","given":"M. O."}],"issued":{"date-parts":[["1973"]]}}},{"id":216,"uris":["http://zotero.org/users/6401767/items/NEDFA3Z4"],"itemData":{"id":216,"type":"article-journal","container-title":"Oikos","DOI":"10.1111/j.2006.0030-1299.14714.x","ISSN":"00301299, 16000706","issue":"2","language":"en","page":"363-375","source":"DOI.org (Crossref)","title":"Entropy and diversity","volume":"113","author":[{"family":"Jost","given":"Lou"}],"issued":{"date-parts":[["2006",5]]}}}],"schema":"https://github.com/citation-style-language/schema/raw/master/csl-citation.json"}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(M. O. Hill, 1973; Jost, 2006)</w:t>
      </w:r>
      <w:r w:rsidRPr="005E32F5">
        <w:rPr>
          <w:rFonts w:ascii="Times New Roman" w:hAnsi="Times New Roman" w:cs="Times New Roman"/>
        </w:rPr>
        <w:fldChar w:fldCharType="end"/>
      </w:r>
      <w:r w:rsidRPr="005E32F5">
        <w:rPr>
          <w:rFonts w:ascii="Times New Roman" w:hAnsi="Times New Roman" w:cs="Times New Roman"/>
        </w:rPr>
        <w:t>. For phylogenetic diversity, these orders correspond to Faith’s phylogenetic diversity (</w:t>
      </w:r>
      <w:r w:rsidRPr="005E32F5">
        <w:rPr>
          <w:rFonts w:ascii="Times New Roman" w:hAnsi="Times New Roman" w:cs="Times New Roman"/>
          <w:i/>
          <w:iCs/>
        </w:rPr>
        <w:t>q=0</w:t>
      </w:r>
      <w:r w:rsidRPr="005E32F5">
        <w:rPr>
          <w:rFonts w:ascii="Times New Roman" w:hAnsi="Times New Roman" w:cs="Times New Roman"/>
        </w:rPr>
        <w:t>), Allen’s entropy (</w:t>
      </w:r>
      <w:r w:rsidRPr="005E32F5">
        <w:rPr>
          <w:rFonts w:ascii="Times New Roman" w:hAnsi="Times New Roman" w:cs="Times New Roman"/>
          <w:i/>
          <w:iCs/>
        </w:rPr>
        <w:t>q=1</w:t>
      </w:r>
      <w:r w:rsidRPr="005E32F5">
        <w:rPr>
          <w:rFonts w:ascii="Times New Roman" w:hAnsi="Times New Roman" w:cs="Times New Roman"/>
        </w:rPr>
        <w:t>), and Rao’s quadratic entropy (</w:t>
      </w:r>
      <w:r w:rsidRPr="005E32F5">
        <w:rPr>
          <w:rFonts w:ascii="Times New Roman" w:hAnsi="Times New Roman" w:cs="Times New Roman"/>
          <w:i/>
          <w:iCs/>
        </w:rPr>
        <w:t>q=2</w:t>
      </w:r>
      <w:r w:rsidRPr="005E32F5">
        <w:rPr>
          <w:rFonts w:ascii="Times New Roman" w:hAnsi="Times New Roman" w:cs="Times New Roman"/>
        </w:rPr>
        <w:t xml:space="preserve">) and represent the effective lineages over time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{"citationID":"Ic2LHchv","properties":{"formattedCitation":"(Chiu &amp; Chao, 2014)","plainCitation":"(Chiu &amp; Chao, 2014)","noteIndex":0},"citationItems":[{"id":132,"uris":["http://zotero.org/users/6401767/items/9QCWQUDM"],"itemData":{"id":132,"type":"article-journal","abstract":"Hill numbers (or the ‘‘effective number of species’’) are increasingly used to characterize species diversity of an assemblage. This work extends Hill numbers to incorporate species pairwise functional distances calculated from species traits. We derive a parametric class of functional Hill numbers, which quantify ‘‘the effective number of equally abundant and (functionally) equally distinct species’’ in an assemblage. We also propose a class of mean functional diversity (per species), which quantifies the effective sum of functional distances between a fixed species to all other species. The product of the functional Hill number and the mean functional diversity thus quantifies the (total) functional diversity, i.e., the effective total distance between species of the assemblage. The three measures (functional Hill numbers, mean functional diversity and total functional diversity) quantify different aspects of species trait space, and all are based on species abundance and species pairwise functional distances. When all species are equally distinct, our functional Hill numbers reduce to ordinary Hill numbers. When species abundances are not considered or species are equally abundant, our total functional diversity reduces to the sum of all pairwise distances between species of an assemblage. The functional Hill numbers and the mean functional diversity both satisfy a replication principle, implying the total functional diversity satisfies a quadratic replication principle. When there are multiple assemblages defined by the investigator, each of the three measures of the pooled assemblage (gamma) can be multiplicatively decomposed into alpha and beta components, and the two components are independent. The resulting beta component measures pure functional differentiation among assemblages and can be further transformed to obtain several classes of normalized functional similarity (or differentiation) measures, including Nassemblage functional generalizations of the classic Jaccard, Sørensen, Horn and Morisita-Horn similarity indices. The proposed measures are applied to artificial and real data for illustration.","container-title":"PLoS ONE","DOI":"10.1371/journal.pone.0100014","ISSN":"1932-6203","issue":"7","journalAbbreviation":"PLoS ONE","language":"en","page":"e100014","source":"DOI.org (Crossref)","title":"Distance-Based Functional Diversity Measures and Their Decomposition: A Framework Based on Hill Numbers","title-short":"Distance-Based Functional Diversity Measures and Their Decomposition","volume":"9","author":[{"family":"Chiu","given":"Chun-Huo"},{"family":"Chao","given":"Anne"}],"editor":[{"family":"Bello","given":"Francesco","non-dropping-particle":"de"}],"issued":{"date-parts":[["2014",7,7]]}}}],"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(Chiu &amp; Chao, 2014)</w:t>
      </w:r>
      <w:r w:rsidRPr="005E32F5">
        <w:rPr>
          <w:rFonts w:ascii="Times New Roman" w:hAnsi="Times New Roman" w:cs="Times New Roman"/>
        </w:rPr>
        <w:fldChar w:fldCharType="end"/>
      </w:r>
      <w:r w:rsidRPr="005E32F5">
        <w:rPr>
          <w:rFonts w:ascii="Times New Roman" w:hAnsi="Times New Roman" w:cs="Times New Roman"/>
        </w:rPr>
        <w:t xml:space="preserve">. We compared differences in </w:t>
      </w:r>
      <w:r w:rsidRPr="005E32F5">
        <w:rPr>
          <w:rFonts w:ascii="Times New Roman" w:hAnsi="Times New Roman" w:cs="Times New Roman"/>
        </w:rPr>
        <w:sym w:font="Symbol" w:char="F061"/>
      </w:r>
      <w:r w:rsidRPr="005E32F5">
        <w:rPr>
          <w:rFonts w:ascii="Times New Roman" w:hAnsi="Times New Roman" w:cs="Times New Roman"/>
        </w:rPr>
        <w:t xml:space="preserve"> diversity for three hypotheses: salamander-associated communities would be less diverse than their environmental reservoirs, alpha diversity would be lower on aquatically captured salamanders than terrestrially captured salamanders, and alpha diversity would be lowest in the winter for salamanders. Alpha diversity hypotheses were tested using either a paired t-test in the </w:t>
      </w:r>
      <w:proofErr w:type="spellStart"/>
      <w:r w:rsidRPr="005E32F5">
        <w:rPr>
          <w:rFonts w:ascii="Times New Roman" w:hAnsi="Times New Roman" w:cs="Times New Roman"/>
        </w:rPr>
        <w:t>rstatix</w:t>
      </w:r>
      <w:proofErr w:type="spellEnd"/>
      <w:r w:rsidRPr="005E32F5">
        <w:rPr>
          <w:rFonts w:ascii="Times New Roman" w:hAnsi="Times New Roman" w:cs="Times New Roman"/>
        </w:rPr>
        <w:t xml:space="preserve"> package for comparing salamanders to cover objects or an ANOVA with a Tukey Honest Significant Difference post-hoc test for parsing differences across seasons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{"citationID":"ubPHIyuo","properties":{"formattedCitation":"(Kassambara, 2020)","plainCitation":"(Kassambara, 2020)","noteIndex":0},"citationItems":[{"id":226,"uris":["http://zotero.org/users/6401767/items/L9QJBQ9K"],"itemData":{"id":226,"type":"software","title":"rstatix: Pipe-Friendly Framework for Basic Statistical Tests.","URL":"https://CRAN.R-project.org/package=rstatix","version":"R package version 0.6.0","author":[{"family":"Kassambara","given":"Alboukadel"}],"issued":{"date-parts":[["2020"]]}}}],"schema":"https://github.com/citation-style-language/schema/raw/master/csl-citation.json"}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(Kassambara, 2020)</w:t>
      </w:r>
      <w:r w:rsidRPr="005E32F5">
        <w:rPr>
          <w:rFonts w:ascii="Times New Roman" w:hAnsi="Times New Roman" w:cs="Times New Roman"/>
        </w:rPr>
        <w:fldChar w:fldCharType="end"/>
      </w:r>
      <w:r w:rsidRPr="005E32F5">
        <w:rPr>
          <w:rFonts w:ascii="Times New Roman" w:hAnsi="Times New Roman" w:cs="Times New Roman"/>
        </w:rPr>
        <w:t xml:space="preserve">. Due to sampling biases arising from sampling/sequencing effort, we estimated diversity for each of 500 rarefactions and used the mean diversity estimate for each sample using the </w:t>
      </w:r>
      <w:r w:rsidRPr="005E32F5">
        <w:rPr>
          <w:rFonts w:ascii="Times New Roman" w:hAnsi="Times New Roman" w:cs="Times New Roman"/>
          <w:i/>
          <w:iCs/>
        </w:rPr>
        <w:t>vegan</w:t>
      </w:r>
      <w:r w:rsidRPr="005E32F5">
        <w:rPr>
          <w:rFonts w:ascii="Times New Roman" w:hAnsi="Times New Roman" w:cs="Times New Roman"/>
        </w:rPr>
        <w:t xml:space="preserve"> package in R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{"citationID":"AVH386Eb","properties":{"formattedCitation":"(Oksanen et al., 2019)","plainCitation":"(Oksanen et al., 2019)","noteIndex":0},"citationItems":[{"id":223,"uris":["http://zotero.org/users/6401767/items/PZENS6MG"],"itemData":{"id":223,"type":"software","title":"vegan: Community Ecology Package.","URL":"https://CRAN.R-project.org/package=vegan","version":"R package version 2.5-6","author":[{"family":"Oksanen","given":"Jari"},{"family":"Blanchet","given":"Guillaume"},{"family":"Friendly","given":"Michael"},{"family":"Legendre","given":"Pierre"},{"family":"McGlinn","given":"Peter R."},{"family":"O'Hara","given":"R.B."},{"family":"Simpson","given":"Gavin L."},{"family":"Solymos","given":"Peter"},{"family":"Stevens","given":"M. Henry H."},{"family":"Szoecs","given":"Eduard"},{"family":"Wagner","given":"Helene"}],"issued":{"date-parts":[["2019"]]}}}],"schema":"https://github.com/citation-style-language/schema/raw/master/csl-citation.json"}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(Oksanen et al., 2019)</w:t>
      </w:r>
      <w:r w:rsidRPr="005E32F5">
        <w:rPr>
          <w:rFonts w:ascii="Times New Roman" w:hAnsi="Times New Roman" w:cs="Times New Roman"/>
        </w:rPr>
        <w:fldChar w:fldCharType="end"/>
      </w:r>
      <w:r w:rsidRPr="005E32F5">
        <w:rPr>
          <w:rFonts w:ascii="Times New Roman" w:hAnsi="Times New Roman" w:cs="Times New Roman"/>
        </w:rPr>
        <w:t>. Our rarefaction level was 13,407 reads, with rarefaction cur</w:t>
      </w:r>
      <w:r w:rsidR="00EB5909">
        <w:rPr>
          <w:rFonts w:ascii="Times New Roman" w:hAnsi="Times New Roman" w:cs="Times New Roman"/>
        </w:rPr>
        <w:t>v</w:t>
      </w:r>
      <w:r w:rsidRPr="005E32F5">
        <w:rPr>
          <w:rFonts w:ascii="Times New Roman" w:hAnsi="Times New Roman" w:cs="Times New Roman"/>
        </w:rPr>
        <w:t xml:space="preserve">es becoming asymptotic around 9,500 reads. </w:t>
      </w:r>
    </w:p>
    <w:p w14:paraId="723A7F80" w14:textId="24E8CA3A"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The effective number of species is a reflection of the number of species (richness) and the equitability of abundances (evenness)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{"citationID":"vCK9T49R","properties":{"formattedCitation":"(Tuomisto, 2012)","plainCitation":"(Tuomisto, 2012)","noteIndex":0},"citationItems":[{"id":259,"uris":["http://zotero.org/users/6401767/items/XPGXQ65K"],"itemData":{"id":259,"type":"article-journal","container-title":"Oikos","DOI":"10.1111/j.1600-0706.2011.19897.x","ISSN":"00301299","issue":"8","journalAbbreviation":"Oikos","language":"en","page":"1203-1218","source":"DOI.org (Crossref)","title":"An updated consumer’s guide to evenness and related indices","volume":"121","author":[{"family":"Tuomisto","given":"Hanna"}],"issued":{"date-parts":[["2012",8]]}}}],"schema":"https://github.com/citation-style-language/schema/raw/master/csl-citation.json"}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(Tuomisto, 2012)</w:t>
      </w:r>
      <w:r w:rsidRPr="005E32F5">
        <w:rPr>
          <w:rFonts w:ascii="Times New Roman" w:hAnsi="Times New Roman" w:cs="Times New Roman"/>
        </w:rPr>
        <w:fldChar w:fldCharType="end"/>
      </w:r>
      <w:r w:rsidRPr="005E32F5">
        <w:rPr>
          <w:rFonts w:ascii="Times New Roman" w:hAnsi="Times New Roman" w:cs="Times New Roman"/>
        </w:rPr>
        <w:t xml:space="preserve">. When richness and/or abundances vary, </w:t>
      </w:r>
      <w:r w:rsidRPr="005E32F5">
        <w:rPr>
          <w:rFonts w:ascii="Times New Roman" w:hAnsi="Times New Roman" w:cs="Times New Roman"/>
        </w:rPr>
        <w:lastRenderedPageBreak/>
        <w:t xml:space="preserve">Chao et al.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{"citationID":"NaYIVB9O","properties":{"formattedCitation":"(Chao &amp; Ricotta, 2019)","plainCitation":"(Chao &amp; Ricotta, 2019)","noteIndex":0},"citationItems":[{"id":258,"uris":["http://zotero.org/users/6401767/items/CSLAFY5F"],"itemData":{"id":258,"type":"article-journal","abstract":"An enormous number of measures based on different criteria have been proposed to quantify evenness or unevenness among species relative abundances in an assemblage. However, a unified approach that can encompass most of the widely used indices is still lacking. Here, we first present some basic requirements for an evenness measure. We then propose that unevenness among species relative abundances in an assemblage can be measured by a normalized divergence between the vector of species relative abundances and the mean vector, where the mean vector represents the species relative abundances of a completely even assemblage. Thus, evenness among species relative abundances is measured by the corresponding normalized extent of closeness between these two vectors. We consider five divergence measures, leading to five classes of evenness indices. All our evenness measures are in terms of diversity (Hill number) of order q &gt; 0 (here q controls the weighting of species relative abundances) and species richness (diversity of order q = 0). We propose quantifying evenness through a continuous profile that depicts evenness as a function of diversity order q &gt; 0. The profiles can be easily and visually compared across multiple assemblages. Our evenness indices satisfy all the requirements presented in this paper and encompass many widely used evenness measures as special cases. When there are multiple assemblages, the abundance-based Jaccardand Sørensen-type dissimilarity measures (which are monotonic functions of beta diversity) can be expressed as weighted averages of the individual species’ compositional unevenness values; here, each individual species’ compositional unevenness is calculated based on that species’ abundances among assemblages. The contribution of a species to each dissimilarity measure can be clearly disentangled and quantified in terms of this single species’ compositional unevenness among assemblages. Thus, our framework links the concepts of evenness, diversity, beta diversity, and similarity. Moreover, the framework can be readily extended to a phylogenetic version. A real data example is used to illustrate our approach. We also discuss some criteria and other measures that were previously proposed in the literature.","container-title":"Ecology","DOI":"10.1002/ecy.2852","ISSN":"0012-9658, 1939-9170","issue":"12","journalAbbreviation":"Ecology","language":"en","source":"DOI.org (Crossref)","title":"Quantifying evenness and linking it to diversity, beta diversity, and similarity","URL":"https://onlinelibrary.wiley.com/doi/10.1002/ecy.2852","volume":"100","author":[{"family":"Chao","given":"Anne"},{"family":"Ricotta","given":"Carlo"}],"accessed":{"date-parts":[["2022",7,28]]},"issued":{"date-parts":[["2019",12]]}},"label":"page"}],"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(Chao &amp; Ricotta, 2019)</w:t>
      </w:r>
      <w:r w:rsidRPr="005E32F5">
        <w:rPr>
          <w:rFonts w:ascii="Times New Roman" w:hAnsi="Times New Roman" w:cs="Times New Roman"/>
        </w:rPr>
        <w:fldChar w:fldCharType="end"/>
      </w:r>
      <w:r w:rsidRPr="005E32F5">
        <w:rPr>
          <w:rFonts w:ascii="Times New Roman" w:hAnsi="Times New Roman" w:cs="Times New Roman"/>
        </w:rPr>
        <w:t xml:space="preserve"> proposed two requirements for a measure of evenness: a fixed interval with minimum and maximum (unrelatedness criterion), and evenness measures that perform consistently for absolute or relative species counts (scale invariance). A proposed measure fitting these criteria is to use the normalized absolute slope of Hill-number profiles, meaning evenness (between 0 and 1) represents the normalized ratio of higher-order diversities to richness. In this study, host habitat changes expose hosts to a different immigrant pool, potentially increasing evenness through local declines of resident taxa and colonization of new microbes filling niche space. To evaluate seasonal patterns of evenness for salamander and cover object-associated communities, we estimated the taxonomic evenness of a Hill number profile from </w:t>
      </w:r>
      <w:r w:rsidRPr="005E32F5">
        <w:rPr>
          <w:rFonts w:ascii="Times New Roman" w:hAnsi="Times New Roman" w:cs="Times New Roman"/>
          <w:i/>
          <w:iCs/>
        </w:rPr>
        <w:t>q=0</w:t>
      </w:r>
      <w:r w:rsidRPr="005E32F5">
        <w:rPr>
          <w:rFonts w:ascii="Times New Roman" w:hAnsi="Times New Roman" w:cs="Times New Roman"/>
        </w:rPr>
        <w:t xml:space="preserve">, </w:t>
      </w:r>
      <w:r w:rsidRPr="005E32F5">
        <w:rPr>
          <w:rFonts w:ascii="Times New Roman" w:hAnsi="Times New Roman" w:cs="Times New Roman"/>
          <w:i/>
          <w:iCs/>
        </w:rPr>
        <w:t xml:space="preserve">q=1, </w:t>
      </w:r>
      <w:r w:rsidRPr="005E32F5">
        <w:rPr>
          <w:rFonts w:ascii="Times New Roman" w:hAnsi="Times New Roman" w:cs="Times New Roman"/>
        </w:rPr>
        <w:t xml:space="preserve">and </w:t>
      </w:r>
      <w:r w:rsidRPr="005E32F5">
        <w:rPr>
          <w:rFonts w:ascii="Times New Roman" w:hAnsi="Times New Roman" w:cs="Times New Roman"/>
          <w:i/>
          <w:iCs/>
        </w:rPr>
        <w:t xml:space="preserve">q=2 </w:t>
      </w:r>
      <w:r w:rsidRPr="005E32F5">
        <w:rPr>
          <w:rFonts w:ascii="Times New Roman" w:hAnsi="Times New Roman" w:cs="Times New Roman"/>
        </w:rPr>
        <w:t>across 500 rarefactions.</w:t>
      </w:r>
    </w:p>
    <w:p w14:paraId="493A4111" w14:textId="4F913829" w:rsidR="002F0DCF" w:rsidRPr="005E32F5" w:rsidRDefault="002F0DCF" w:rsidP="00D24CDA">
      <w:pPr>
        <w:spacing w:line="360" w:lineRule="auto"/>
        <w:ind w:firstLine="720"/>
        <w:rPr>
          <w:rFonts w:ascii="Times New Roman" w:hAnsi="Times New Roman" w:cs="Times New Roman"/>
        </w:rPr>
      </w:pPr>
      <w:r w:rsidRPr="005E32F5">
        <w:rPr>
          <w:rFonts w:ascii="Times New Roman" w:hAnsi="Times New Roman" w:cs="Times New Roman"/>
        </w:rPr>
        <w:t xml:space="preserve">For assessing beta diversity pertaining to our study design, we used variance partitioning of the Horn and </w:t>
      </w:r>
      <w:proofErr w:type="spellStart"/>
      <w:r w:rsidRPr="005E32F5">
        <w:rPr>
          <w:rFonts w:ascii="Times New Roman" w:hAnsi="Times New Roman" w:cs="Times New Roman"/>
        </w:rPr>
        <w:t>PhyloHorn</w:t>
      </w:r>
      <w:proofErr w:type="spellEnd"/>
      <w:r w:rsidRPr="005E32F5">
        <w:rPr>
          <w:rFonts w:ascii="Times New Roman" w:hAnsi="Times New Roman" w:cs="Times New Roman"/>
        </w:rPr>
        <w:t xml:space="preserve"> dissimilarities (</w:t>
      </w:r>
      <w:r w:rsidRPr="005E32F5">
        <w:rPr>
          <w:rFonts w:ascii="Times New Roman" w:hAnsi="Times New Roman" w:cs="Times New Roman"/>
          <w:i/>
          <w:iCs/>
        </w:rPr>
        <w:t>q=1</w:t>
      </w:r>
      <w:r w:rsidRPr="005E32F5">
        <w:rPr>
          <w:rFonts w:ascii="Times New Roman" w:hAnsi="Times New Roman" w:cs="Times New Roman"/>
        </w:rPr>
        <w:t>), partitioning by Site, Season, and Habitat (as well as interaction terms). The adjusted r</w:t>
      </w:r>
      <w:r w:rsidRPr="005E32F5">
        <w:rPr>
          <w:rFonts w:ascii="Times New Roman" w:hAnsi="Times New Roman" w:cs="Times New Roman"/>
          <w:vertAlign w:val="superscript"/>
        </w:rPr>
        <w:t>2</w:t>
      </w:r>
      <w:r w:rsidRPr="005E32F5">
        <w:rPr>
          <w:rFonts w:ascii="Times New Roman" w:hAnsi="Times New Roman" w:cs="Times New Roman"/>
        </w:rPr>
        <w:t xml:space="preserve"> represents the inertia explained constrained models, which was then statistically assessed using </w:t>
      </w:r>
      <w:proofErr w:type="spellStart"/>
      <w:r w:rsidRPr="005E32F5">
        <w:rPr>
          <w:rFonts w:ascii="Times New Roman" w:hAnsi="Times New Roman" w:cs="Times New Roman"/>
        </w:rPr>
        <w:t>dbRDA</w:t>
      </w:r>
      <w:proofErr w:type="spellEnd"/>
      <w:r w:rsidRPr="005E32F5">
        <w:rPr>
          <w:rFonts w:ascii="Times New Roman" w:hAnsi="Times New Roman" w:cs="Times New Roman"/>
        </w:rPr>
        <w:t xml:space="preserve"> followed by an </w:t>
      </w:r>
      <w:proofErr w:type="spellStart"/>
      <w:r w:rsidRPr="005E32F5">
        <w:rPr>
          <w:rFonts w:ascii="Times New Roman" w:hAnsi="Times New Roman" w:cs="Times New Roman"/>
        </w:rPr>
        <w:t>anova.cca</w:t>
      </w:r>
      <w:proofErr w:type="spellEnd"/>
      <w:r w:rsidRPr="005E32F5">
        <w:rPr>
          <w:rFonts w:ascii="Times New Roman" w:hAnsi="Times New Roman" w:cs="Times New Roman"/>
        </w:rPr>
        <w:t xml:space="preserve"> in the package </w:t>
      </w:r>
      <w:r w:rsidRPr="005E32F5">
        <w:rPr>
          <w:rFonts w:ascii="Times New Roman" w:hAnsi="Times New Roman" w:cs="Times New Roman"/>
          <w:i/>
          <w:iCs/>
        </w:rPr>
        <w:t>vegan</w:t>
      </w:r>
      <w:r w:rsidRPr="005E32F5">
        <w:rPr>
          <w:rFonts w:ascii="Times New Roman" w:hAnsi="Times New Roman" w:cs="Times New Roman"/>
        </w:rPr>
        <w:t xml:space="preserve">. Due to the phenology of </w:t>
      </w:r>
      <w:r w:rsidRPr="005E32F5">
        <w:rPr>
          <w:rFonts w:ascii="Times New Roman" w:hAnsi="Times New Roman" w:cs="Times New Roman"/>
          <w:i/>
          <w:iCs/>
        </w:rPr>
        <w:t>E.</w:t>
      </w:r>
      <w:r w:rsidR="00FA442E">
        <w:rPr>
          <w:rFonts w:ascii="Times New Roman" w:hAnsi="Times New Roman" w:cs="Times New Roman"/>
          <w:i/>
          <w:iCs/>
        </w:rPr>
        <w:t xml:space="preserve"> </w:t>
      </w:r>
      <w:r w:rsidR="00FA442E">
        <w:rPr>
          <w:rFonts w:ascii="Times New Roman" w:hAnsi="Times New Roman" w:cs="Times New Roman"/>
        </w:rPr>
        <w:t>cf.</w:t>
      </w:r>
      <w:r w:rsidRPr="005E32F5">
        <w:rPr>
          <w:rFonts w:ascii="Times New Roman" w:hAnsi="Times New Roman" w:cs="Times New Roman"/>
          <w:i/>
          <w:iCs/>
        </w:rPr>
        <w:t xml:space="preserve"> </w:t>
      </w:r>
      <w:proofErr w:type="spellStart"/>
      <w:r w:rsidRPr="005E32F5">
        <w:rPr>
          <w:rFonts w:ascii="Times New Roman" w:hAnsi="Times New Roman" w:cs="Times New Roman"/>
          <w:i/>
          <w:iCs/>
        </w:rPr>
        <w:t>wilderae</w:t>
      </w:r>
      <w:proofErr w:type="spellEnd"/>
      <w:r w:rsidRPr="005E32F5">
        <w:rPr>
          <w:rFonts w:ascii="Times New Roman" w:hAnsi="Times New Roman" w:cs="Times New Roman"/>
        </w:rPr>
        <w:t xml:space="preserve">, habitat and seasons are necessarily confounded, and we thus conditioned the model to remove variance associated with habitat while testing for variance seasonally. While post-hoc analyses for crossed-sampling designs requiring conditioning are currently unavailable, </w:t>
      </w:r>
      <w:proofErr w:type="spellStart"/>
      <w:r w:rsidRPr="005E32F5">
        <w:rPr>
          <w:rFonts w:ascii="Times New Roman" w:hAnsi="Times New Roman" w:cs="Times New Roman"/>
        </w:rPr>
        <w:t>Alekseyenko</w:t>
      </w:r>
      <w:proofErr w:type="spellEnd"/>
      <w:r w:rsidRPr="005E32F5">
        <w:rPr>
          <w:rFonts w:ascii="Times New Roman" w:hAnsi="Times New Roman" w:cs="Times New Roman"/>
        </w:rPr>
        <w:t xml:space="preserve"> (2016) developed a multivariate Welch t-test for distances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{"citationID":"fa2BxiNY","properties":{"formattedCitation":"(Alekseyenko, 2016)","plainCitation":"(Alekseyenko, 2016)","noteIndex":0},"citationItems":[{"id":359,"uris":["http://zotero.org/users/6401767/items/TNIB9G6N"],"itemData":{"id":359,"type":"article-journal","abstract":"Motivation: Permutational non-Euclidean analysis of variance, PERMANOVA, is routinely used in exploratory analysis of multivariate datasets to draw conclusions about the significance of patterns visualized through dimension reduction. This method recognizes that pairwise distance matrix between observations is sufficient to compute within and between group sums of squares necessary to form the (pseudo) F statistic. Moreover, not only Euclidean, but arbitrary distances can be used. This method, however, suffers from loss of power and type I error inflation in the presence of heteroscedasticity and sample size imbalances.Results: We develop a solution in the form of a distance-based Welch t-test, TW2, for two sample potentially unbalanced and heteroscedastic data. We demonstrate empirically the desirable type I error and power characteristics of the new test. We compare the performance of PERMANOVA and TW2 in reanalysis of two existing microbiome datasets, where the methodology has originated.Availability and Implementation: The source code for methods and analysis of this article is available at https://github.com/alekseyenko/Tw2. Further guidance on application of these methods can be obtained from the author.Contact:  alekseye@musc.edu","container-title":"Bioinformatics","DOI":"10.1093/bioinformatics/btw524","ISSN":"1367-4803","issue":"23","journalAbbreviation":"Bioinformatics","page":"3552-3558","source":"Silverchair","title":"Multivariate Welch t-test on distances","volume":"32","author":[{"family":"Alekseyenko","given":"Alexander V."}],"issued":{"date-parts":[["2016",12,1]]}}}],"schema":"https://github.com/citation-style-language/schema/raw/master/csl-citation.json"}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(Alekseyenko, 2016)</w:t>
      </w:r>
      <w:r w:rsidRPr="005E32F5">
        <w:rPr>
          <w:rFonts w:ascii="Times New Roman" w:hAnsi="Times New Roman" w:cs="Times New Roman"/>
        </w:rPr>
        <w:fldChar w:fldCharType="end"/>
      </w:r>
      <w:r w:rsidRPr="005E32F5">
        <w:rPr>
          <w:rFonts w:ascii="Times New Roman" w:hAnsi="Times New Roman" w:cs="Times New Roman"/>
        </w:rPr>
        <w:t>. This method is robust to sample size differences and was used to statistically compare consecutive seasons in the context of habitat shifts, correcting for multiple comparisons with sequential Bonferroni. To apply a more nuanced approach for visualizing temporal turnover at the community level, we assessed turnover between salamanders and cover objects, salamanders and other salamanders, and cover objects and other cover objects</w:t>
      </w:r>
      <w:r w:rsidR="001C7E0F" w:rsidRPr="005E32F5">
        <w:rPr>
          <w:rFonts w:ascii="Times New Roman" w:hAnsi="Times New Roman" w:cs="Times New Roman"/>
        </w:rPr>
        <w:t>.</w:t>
      </w:r>
    </w:p>
    <w:p w14:paraId="5ADF14D9" w14:textId="566F8657" w:rsidR="002F0DCF" w:rsidRPr="00491D83" w:rsidRDefault="002F0DCF" w:rsidP="00D110AF">
      <w:pPr>
        <w:pStyle w:val="Heading3"/>
        <w:rPr>
          <w:rFonts w:ascii="Times New Roman" w:hAnsi="Times New Roman" w:cs="Times New Roman"/>
          <w:b w:val="0"/>
          <w:bCs w:val="0"/>
          <w:i w:val="0"/>
          <w:iCs/>
        </w:rPr>
      </w:pPr>
      <w:bookmarkStart w:id="107" w:name="_Toc165028084"/>
      <w:r w:rsidRPr="00491D83">
        <w:rPr>
          <w:rFonts w:ascii="Times New Roman" w:hAnsi="Times New Roman" w:cs="Times New Roman"/>
          <w:b w:val="0"/>
          <w:bCs w:val="0"/>
          <w:iCs/>
        </w:rPr>
        <w:t xml:space="preserve">Core </w:t>
      </w:r>
      <w:proofErr w:type="gramStart"/>
      <w:r w:rsidR="008A6662" w:rsidRPr="00491D83">
        <w:rPr>
          <w:rFonts w:ascii="Times New Roman" w:hAnsi="Times New Roman" w:cs="Times New Roman"/>
          <w:b w:val="0"/>
          <w:bCs w:val="0"/>
          <w:iCs/>
        </w:rPr>
        <w:t>m</w:t>
      </w:r>
      <w:r w:rsidRPr="00491D83">
        <w:rPr>
          <w:rFonts w:ascii="Times New Roman" w:hAnsi="Times New Roman" w:cs="Times New Roman"/>
          <w:b w:val="0"/>
          <w:bCs w:val="0"/>
          <w:iCs/>
        </w:rPr>
        <w:t>icrobiome</w:t>
      </w:r>
      <w:bookmarkEnd w:id="107"/>
      <w:proofErr w:type="gramEnd"/>
    </w:p>
    <w:p w14:paraId="28141A94" w14:textId="6ECEB058" w:rsidR="001C7E0F" w:rsidRPr="005E32F5" w:rsidRDefault="002F0DCF" w:rsidP="009835B0">
      <w:pPr>
        <w:spacing w:line="360" w:lineRule="auto"/>
        <w:ind w:firstLine="720"/>
        <w:rPr>
          <w:rFonts w:ascii="Times New Roman" w:hAnsi="Times New Roman" w:cs="Times New Roman"/>
        </w:rPr>
      </w:pPr>
      <w:r w:rsidRPr="005E32F5">
        <w:rPr>
          <w:rFonts w:ascii="Times New Roman" w:hAnsi="Times New Roman" w:cs="Times New Roman"/>
        </w:rPr>
        <w:t>We implemented four definitions of the core</w:t>
      </w:r>
      <w:r w:rsidRPr="005E32F5">
        <w:rPr>
          <w:rFonts w:ascii="Times New Roman" w:hAnsi="Times New Roman" w:cs="Times New Roman"/>
          <w:i/>
          <w:iCs/>
        </w:rPr>
        <w:t xml:space="preserve"> </w:t>
      </w:r>
      <w:r w:rsidRPr="005E32F5">
        <w:rPr>
          <w:rFonts w:ascii="Times New Roman" w:hAnsi="Times New Roman" w:cs="Times New Roman"/>
        </w:rPr>
        <w:t xml:space="preserve">microbiome (common, temporal, host-associated, and defensive functional) to identify relationships of OTUs to salamanders in relation to cover objects. We defined the common core (one for each sampling season) as OTUs detected on 80% of individuals within a given sampling season (across 9 sites). The temporal core was identified as OTUs detected on all salamanders within a given site across three or more sampling </w:t>
      </w:r>
      <w:r w:rsidRPr="005E32F5">
        <w:rPr>
          <w:rFonts w:ascii="Times New Roman" w:hAnsi="Times New Roman" w:cs="Times New Roman"/>
        </w:rPr>
        <w:lastRenderedPageBreak/>
        <w:t xml:space="preserve">seasons. The defensive functional core was identified as any OTUs matching strains known to have antifungal properties </w:t>
      </w:r>
      <w:r w:rsidRPr="005E32F5">
        <w:rPr>
          <w:rFonts w:ascii="Times New Roman" w:hAnsi="Times New Roman" w:cs="Times New Roman"/>
          <w:i/>
          <w:iCs/>
        </w:rPr>
        <w:t>in vitro</w:t>
      </w:r>
      <w:r w:rsidRPr="005E32F5">
        <w:rPr>
          <w:rFonts w:ascii="Times New Roman" w:hAnsi="Times New Roman" w:cs="Times New Roman"/>
        </w:rPr>
        <w:t xml:space="preserv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{"citationID":"9j9umnWm","properties":{"formattedCitation":"(Woodhams et al., 2015)","plainCitation":"(Woodhams et al., 2015)","noteIndex":0},"citationItems":[{"id":97,"uris":["http://zotero.org/users/6401767/items/3YUD6CVJ"],"itemData":{"id":97,"type":"article-journal","abstract":"Microbial symbionts of vertebrate skin have an important function in defense of the host against pathogens. In particular, the emerging chytrid fungus Batrachochytrium dendrobatidis, causes widespread disease in amphibians but can be inhibited via secondary metabolites produced by many different skin-associated bacteria. Similarly, the fungal pathogens of terrestrial salamander eggs Mariannaea elegans and Rhizomucor variabilis are also inhibited by a variety of skin-associated bacteria. Indeed, probiotic therapy against fungal diseases is a recent approach in conservation medicine with growing experimental support. We present a comprehensive Antifungal Isolates Database of amphibian skin-associated bacteria that have been cultured, isolated, and tested for antifungal properties. At the start, this database includes nearly 2000 cultured bacterial isolates from 37 amphibian host species across 18 studies on five continents: Africa, Oceania, Europe, and North and South America. As the research community gathers information on additional isolates, the database will be updated periodically. The resulting database can serve as a conservation tool for amphibians and other organisms, and provides empirical data for comparative and bioinformatic studies. The database consists of a FASTA file containing 16S rRNA gene sequences of the bacterial isolates, and a metadata file containing information on the host species, life-stage, geographic region, and antifungal capacity and taxonomic identity of the isolate.","container-title":"Ecology","DOI":"10.1890/14-1837.1","ISSN":"1939-9170","issue":"2","language":"en","note":"_eprint: https://onlinelibrary.wiley.com/doi/pdf/10.1890/14-1837.1","page":"595-595","source":"Wiley Online Library","title":"Antifungal isolates database of amphibian skin-associated bacteria and function against emerging fungal pathogens","volume":"96","author":[{"family":"Woodhams","given":"Douglas C."},{"family":"Alford","given":"Ross A."},{"family":"Antwis","given":"Rachael E."},{"family":"Archer","given":"Holly"},{"family":"Becker","given":"Matthew H."},{"family":"Belden","given":"Lisa K."},{"family":"Bell","given":"Sara C."},{"family":"Bletz","given":"Molly"},{"family":"Daskin","given":"Joshua H."},{"family":"Davis","given":"Leyla R."},{"family":"Flechas","given":"Sandra V."},{"family":"Lauer","given":"Antje"},{"family":"Gonzalez","given":"Antonio"},{"family":"Harris","given":"Reid N."},{"family":"Holden","given":"Whitney M."},{"family":"Hughey","given":"Myra C."},{"family":"Ibáñez","given":"Roberto"},{"family":"Knight","given":"Rob"},{"family":"Kueneman","given":"Jordan"},{"family":"Rabemananjara","given":"Falitiana"},{"family":"Reinert","given":"Laura K."},{"family":"Rollins-Smith","given":"Louise A."},{"family":"Roman-Rodriguez","given":"Franklin"},{"family":"Shaw","given":"Stephanie D."},{"family":"Walke","given":"Jenifer B."},{"family":"McKenzie","given":"Valerie"}],"issued":{"date-parts":[["2015"]]}}}],"schema":"https://github.com/citation-style-language/schema/raw/master/csl-citation.json"}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(Woodhams et al., 2015)</w:t>
      </w:r>
      <w:r w:rsidRPr="005E32F5">
        <w:rPr>
          <w:rFonts w:ascii="Times New Roman" w:hAnsi="Times New Roman" w:cs="Times New Roman"/>
        </w:rPr>
        <w:fldChar w:fldCharType="end"/>
      </w:r>
      <w:r w:rsidRPr="005E32F5">
        <w:rPr>
          <w:rFonts w:ascii="Times New Roman" w:hAnsi="Times New Roman" w:cs="Times New Roman"/>
        </w:rPr>
        <w:t xml:space="preserve"> at a threshold of 99% similarity. Finally, our host-associated core identified OTUs with statistical associations with amphibian hosts relative to cover objects, which was assessed using an indicator species analysis using the </w:t>
      </w:r>
      <w:proofErr w:type="spellStart"/>
      <w:r w:rsidRPr="005E32F5">
        <w:rPr>
          <w:rFonts w:ascii="Times New Roman" w:hAnsi="Times New Roman" w:cs="Times New Roman"/>
          <w:i/>
          <w:iCs/>
        </w:rPr>
        <w:t>stratassoc</w:t>
      </w:r>
      <w:proofErr w:type="spellEnd"/>
      <w:r w:rsidRPr="005E32F5">
        <w:rPr>
          <w:rFonts w:ascii="Times New Roman" w:hAnsi="Times New Roman" w:cs="Times New Roman"/>
          <w:i/>
          <w:iCs/>
        </w:rPr>
        <w:t xml:space="preserve"> </w:t>
      </w:r>
      <w:r w:rsidRPr="005E32F5">
        <w:rPr>
          <w:rFonts w:ascii="Times New Roman" w:hAnsi="Times New Roman" w:cs="Times New Roman"/>
        </w:rPr>
        <w:t xml:space="preserve">function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{"citationID":"4OZpVPTH","properties":{"formattedCitation":"(De C\\uc0\\u225{}ceres et al., 2010)","plainCitation":"(De Cáceres et al., 2010)","noteIndex":0},"citationItems":[{"id":482,"uris":["http://zotero.org/users/6401767/items/5TZG2BF8"],"itemData":{"id":482,"type":"article-journal","abstract":"Indicator species are species that are used as ecological indicators of community or habitat types, environmental conditions, or environmental changes. In order to determine indicator species, the characteristic to be predicted is represented in the form of a classification of the sites, which is compared to the patterns of distribution of the species found at the sites. Indicator species analysis should take into account the fact that species have different niche breadths: if a species is related to the conditions prevailing in two or more groups of sites, an indicator species analysis undertaken on individual groups of sites may fail to reveal this association. In this paper, we suggest improving indicator species analysis by considering all possible combinations of groups of sites and selecting the combination for which the species can be best used as indicator. When using a correlation index, such as the point-biserial correlation, the method yields the combination where the difference between the observed and expected abundance/frequency of the species is the largest. When an indicator value index (IndVal) is used, the method provides the set of site-groups that best matches the observed distribution pattern of the species. We illustrate the advantages of the method in three different examples. Consideration of combinations of groups of sites provides an extra flexibility to qualitatively model the habitat preferences of the species of interest. The method also allows users to cross multiple classifications of the same sites, increasing the amount of information resulting from the analysis. When applied to community types, it allows one to distinguish those species that characterize individual types from those that characterize the relationships between them. This distinction is useful to determine the number of types that maximizes the number of indicator species.","container-title":"Oikos","ISSN":"0030-1299","issue":"10","note":"publisher: Wiley","page":"1674-1684","source":"JSTOR","title":"Improving indicator species analysis by combining groups of sites","volume":"119","author":[{"family":"De Cáceres","given":"Miquel"},{"family":"Legendre","given":"Pierre"},{"family":"Moretti","given":"Marco"}],"issued":{"date-parts":[["2010"]]}}}],"schema":"https://github.com/citation-style-language/schema/raw/master/csl-citation.json"} </w:instrText>
      </w:r>
      <w:r w:rsidRPr="005E32F5">
        <w:rPr>
          <w:rFonts w:ascii="Times New Roman" w:hAnsi="Times New Roman" w:cs="Times New Roman"/>
        </w:rPr>
        <w:fldChar w:fldCharType="separate"/>
      </w:r>
      <w:r w:rsidR="004D2321" w:rsidRPr="004D2321">
        <w:rPr>
          <w:rFonts w:ascii="Times New Roman" w:hAnsi="Times New Roman" w:cs="Times New Roman"/>
        </w:rPr>
        <w:t>(De Cáceres et al., 2010)</w:t>
      </w:r>
      <w:r w:rsidRPr="005E32F5">
        <w:rPr>
          <w:rFonts w:ascii="Times New Roman" w:hAnsi="Times New Roman" w:cs="Times New Roman"/>
        </w:rPr>
        <w:fldChar w:fldCharType="end"/>
      </w:r>
      <w:r w:rsidRPr="005E32F5">
        <w:rPr>
          <w:rFonts w:ascii="Times New Roman" w:hAnsi="Times New Roman" w:cs="Times New Roman"/>
        </w:rPr>
        <w:t xml:space="preserve">. To test whether the distribution of indicator values could be attributed to random community assembly, we simulated a ‘null’ distribution of expected associations, we probabilistically assembled to preserve the rarefied richness in each sample and shuffled group membership. In brief, a pool of OTUs was created and random taxa were selected, with the probability of each species dependent on the frequency of samples it was detected in. Relative abundance of taxa for each sample was then drawn from a probability distribution, with the probability being the relative abundance of the selected taxa in the metacommunity. This was done across 500 rarefactions and the distribution of correlation coefficients was plotted along with observed patterns. For each of the four ‘core’ definitions, we assessed the number of OTUs passing our threshold and plotted their relative abundance on amphibians and cover objects over the course of a year. All analyses were run in R v4.2.0 and graphics were created using the </w:t>
      </w:r>
      <w:proofErr w:type="spellStart"/>
      <w:r w:rsidRPr="005E32F5">
        <w:rPr>
          <w:rFonts w:ascii="Times New Roman" w:hAnsi="Times New Roman" w:cs="Times New Roman"/>
        </w:rPr>
        <w:t>ggpubr</w:t>
      </w:r>
      <w:proofErr w:type="spellEnd"/>
      <w:r w:rsidRPr="005E32F5">
        <w:rPr>
          <w:rFonts w:ascii="Times New Roman" w:hAnsi="Times New Roman" w:cs="Times New Roman"/>
        </w:rPr>
        <w:t xml:space="preserve">, ggplot2, </w:t>
      </w:r>
      <w:proofErr w:type="spellStart"/>
      <w:r w:rsidRPr="005E32F5">
        <w:rPr>
          <w:rFonts w:ascii="Times New Roman" w:hAnsi="Times New Roman" w:cs="Times New Roman"/>
        </w:rPr>
        <w:t>ggpubfigs</w:t>
      </w:r>
      <w:proofErr w:type="spellEnd"/>
      <w:r w:rsidRPr="005E32F5">
        <w:rPr>
          <w:rFonts w:ascii="Times New Roman" w:hAnsi="Times New Roman" w:cs="Times New Roman"/>
        </w:rPr>
        <w:t xml:space="preserve"> packages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{"citationID":"6DaEOLd1","properties":{"formattedCitation":"(Kassambara, Alboukadel, 2020; Steenwyk &amp; Rokas, 2021; Wickham, 2016)","plainCitation":"(Kassambara, Alboukadel, 2020; Steenwyk &amp; Rokas, 2021; Wickham, 2016)","noteIndex":0},"citationItems":[{"id":227,"uris":["http://zotero.org/users/6401767/items/58D4ERFR"],"itemData":{"id":227,"type":"software","title":"ggpubr: 'ggplot2' Based Publication Ready Plots.","URL":"https://CRAN.R-project.org/package=ggpubr","version":"0.4.0","author":[{"family":"Kassambara, Alboukadel","given":""}],"issued":{"date-parts":[["2020"]]}}},{"id":228,"uris":["http://zotero.org/users/6401767/items/XQBGBJ8N"],"itemData":{"id":228,"type":"software","event-place":"Springer-Verlag New York","publisher-place":"Springer-Verlag New York","title":"ggplot2: Elegant Graphics for Data Analysis.","author":[{"family":"Wickham","given":"H"}],"issued":{"date-parts":[["2016"]]}}},{"id":1794,"uris":["http://zotero.org/users/6401767/items/PYUXFQAE"],"itemData":{"id":1794,"type":"article-journal","abstract":"Clear and effective figures are central to successfully communicating scientific data. Here, we present ggpubfigs, an R package with colorblind-friendly color palettes and extensions of the ggplot2 graphic system, which helps make publication-quality scientific figures from quantitative data; ggpubfigs is an open-source and user-friendly tool that is available from https://github.com/JLSteenwyk/ggpubfigs.","container-title":"Microbiology Resource Announcements","DOI":"10.1128/MRA.00871-21","ISSN":"2576-098X","issue":"44","journalAbbreviation":"Microbiol Resour Announc","language":"eng","note":"PMID: 34734767\nPMCID: PMC8567791","page":"e0087121","source":"PubMed","title":"ggpubfigs: Colorblind-Friendly Color Palettes and ggplot2 Graphic System Extensions for Publication-Quality Scientific Figures","title-short":"ggpubfigs","volume":"10","author":[{"family":"Steenwyk","given":"Jacob L."},{"family":"Rokas","given":"Antonis"}],"issued":{"date-parts":[["2021",11,4]]}}}],"schema":"https://github.com/citation-style-language/schema/raw/master/csl-citation.json"}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rPr>
        <w:t>(Kassambara, Alboukadel, 2020; Steenwyk &amp; Rokas, 2021; Wickham, 2016)</w:t>
      </w:r>
      <w:r w:rsidRPr="005E32F5">
        <w:rPr>
          <w:rFonts w:ascii="Times New Roman" w:hAnsi="Times New Roman" w:cs="Times New Roman"/>
        </w:rPr>
        <w:fldChar w:fldCharType="end"/>
      </w:r>
      <w:r w:rsidR="00355DE7" w:rsidRPr="005E32F5">
        <w:rPr>
          <w:rFonts w:ascii="Times New Roman" w:hAnsi="Times New Roman" w:cs="Times New Roman"/>
        </w:rPr>
        <w:t>.</w:t>
      </w:r>
    </w:p>
    <w:p w14:paraId="2D9A50FE" w14:textId="4639879B" w:rsidR="002F0DCF" w:rsidRPr="005E32F5" w:rsidRDefault="002F0DCF" w:rsidP="001C7E0F">
      <w:pPr>
        <w:pStyle w:val="Heading2"/>
        <w:rPr>
          <w:rFonts w:ascii="Times New Roman" w:hAnsi="Times New Roman" w:cs="Times New Roman"/>
          <w:b w:val="0"/>
          <w:bCs w:val="0"/>
        </w:rPr>
      </w:pPr>
      <w:bookmarkStart w:id="108" w:name="_Toc165028085"/>
      <w:r w:rsidRPr="005E32F5">
        <w:rPr>
          <w:rFonts w:ascii="Times New Roman" w:hAnsi="Times New Roman" w:cs="Times New Roman"/>
        </w:rPr>
        <w:t>Results</w:t>
      </w:r>
      <w:bookmarkEnd w:id="108"/>
    </w:p>
    <w:p w14:paraId="1421FAF1" w14:textId="11A62D84" w:rsidR="002F0DCF" w:rsidRPr="00491D83" w:rsidRDefault="002F0DCF" w:rsidP="00D110AF">
      <w:pPr>
        <w:pStyle w:val="Heading3"/>
        <w:rPr>
          <w:rFonts w:ascii="Times New Roman" w:hAnsi="Times New Roman" w:cs="Times New Roman"/>
          <w:b w:val="0"/>
          <w:bCs w:val="0"/>
          <w:i w:val="0"/>
          <w:iCs/>
        </w:rPr>
      </w:pPr>
      <w:bookmarkStart w:id="109" w:name="_Toc165028086"/>
      <w:r w:rsidRPr="00491D83">
        <w:rPr>
          <w:rFonts w:ascii="Times New Roman" w:hAnsi="Times New Roman" w:cs="Times New Roman"/>
          <w:b w:val="0"/>
          <w:bCs w:val="0"/>
          <w:iCs/>
        </w:rPr>
        <w:t>Alpha diversity</w:t>
      </w:r>
      <w:r w:rsidR="007042B7" w:rsidRPr="00491D83">
        <w:rPr>
          <w:rFonts w:ascii="Times New Roman" w:hAnsi="Times New Roman" w:cs="Times New Roman"/>
          <w:b w:val="0"/>
          <w:bCs w:val="0"/>
          <w:iCs/>
        </w:rPr>
        <w:t xml:space="preserve"> is consistent on hosts</w:t>
      </w:r>
      <w:r w:rsidR="009835B0" w:rsidRPr="00491D83">
        <w:rPr>
          <w:rFonts w:ascii="Times New Roman" w:hAnsi="Times New Roman" w:cs="Times New Roman"/>
          <w:b w:val="0"/>
          <w:bCs w:val="0"/>
          <w:iCs/>
        </w:rPr>
        <w:t xml:space="preserve"> </w:t>
      </w:r>
      <w:proofErr w:type="gramStart"/>
      <w:r w:rsidR="009835B0" w:rsidRPr="00491D83">
        <w:rPr>
          <w:rFonts w:ascii="Times New Roman" w:hAnsi="Times New Roman" w:cs="Times New Roman"/>
          <w:b w:val="0"/>
          <w:bCs w:val="0"/>
          <w:iCs/>
        </w:rPr>
        <w:t>seasonally</w:t>
      </w:r>
      <w:bookmarkEnd w:id="109"/>
      <w:proofErr w:type="gramEnd"/>
    </w:p>
    <w:p w14:paraId="38DE4A74" w14:textId="1CDB86F4" w:rsidR="00FA442E" w:rsidRDefault="002F0DCF" w:rsidP="005C70DD">
      <w:pPr>
        <w:spacing w:line="360" w:lineRule="auto"/>
        <w:ind w:firstLine="720"/>
        <w:rPr>
          <w:rFonts w:ascii="Times New Roman" w:hAnsi="Times New Roman" w:cs="Times New Roman"/>
        </w:rPr>
      </w:pPr>
      <w:r w:rsidRPr="005E32F5">
        <w:rPr>
          <w:rFonts w:ascii="Times New Roman" w:hAnsi="Times New Roman" w:cs="Times New Roman"/>
        </w:rPr>
        <w:t xml:space="preserve">Studies analyzing the effects of seasonality on amphibian skin communities have often found that diversities on hosts decreased in cooler months, attributed to ambient temperatures, decreased host metabolisms, or higher dormancy in free-living assemblages. We first asked if salamanders had lower diversity than their cover objects in a particular habitat (aquatic or terrestrial), and then focused on seasonal trends on salamanders. Aquatic cover objects had significantly higher effective diversity than terrestrial cover objects at </w:t>
      </w:r>
      <w:r w:rsidRPr="005E32F5">
        <w:rPr>
          <w:rFonts w:ascii="Times New Roman" w:hAnsi="Times New Roman" w:cs="Times New Roman"/>
          <w:i/>
          <w:iCs/>
        </w:rPr>
        <w:t>q=1</w:t>
      </w:r>
      <w:r w:rsidRPr="005E32F5">
        <w:rPr>
          <w:rFonts w:ascii="Times New Roman" w:hAnsi="Times New Roman" w:cs="Times New Roman"/>
        </w:rPr>
        <w:t xml:space="preserve"> and </w:t>
      </w:r>
      <w:r w:rsidRPr="005E32F5">
        <w:rPr>
          <w:rFonts w:ascii="Times New Roman" w:hAnsi="Times New Roman" w:cs="Times New Roman"/>
          <w:i/>
          <w:iCs/>
        </w:rPr>
        <w:t xml:space="preserve">q=2 </w:t>
      </w:r>
      <w:r w:rsidRPr="005E32F5">
        <w:rPr>
          <w:rFonts w:ascii="Times New Roman" w:hAnsi="Times New Roman" w:cs="Times New Roman"/>
        </w:rPr>
        <w:t>(</w:t>
      </w:r>
      <w:r w:rsidRPr="005E32F5">
        <w:rPr>
          <w:rFonts w:ascii="Times New Roman" w:hAnsi="Times New Roman" w:cs="Times New Roman"/>
          <w:i/>
          <w:iCs/>
        </w:rPr>
        <w:t>p&lt;0.05</w:t>
      </w:r>
      <w:r w:rsidRPr="005E32F5">
        <w:rPr>
          <w:rFonts w:ascii="Times New Roman" w:hAnsi="Times New Roman" w:cs="Times New Roman"/>
        </w:rPr>
        <w:t>), but microbial diversity in aquatic salamander communities was not significantly different from diversity in terrestrial salamander communities in any taxonomic order of diversity (</w:t>
      </w:r>
      <w:r w:rsidRPr="005E32F5">
        <w:rPr>
          <w:rFonts w:ascii="Times New Roman" w:hAnsi="Times New Roman" w:cs="Times New Roman"/>
          <w:b/>
          <w:bCs/>
        </w:rPr>
        <w:t xml:space="preserve">Table </w:t>
      </w:r>
      <w:r w:rsidR="00095B23">
        <w:rPr>
          <w:rFonts w:ascii="Times New Roman" w:hAnsi="Times New Roman" w:cs="Times New Roman"/>
          <w:b/>
          <w:bCs/>
        </w:rPr>
        <w:t>6</w:t>
      </w:r>
      <w:r w:rsidRPr="005E32F5">
        <w:rPr>
          <w:rFonts w:ascii="Times New Roman" w:hAnsi="Times New Roman" w:cs="Times New Roman"/>
        </w:rPr>
        <w:t xml:space="preserve">) </w:t>
      </w:r>
      <w:r w:rsidR="003C43CF" w:rsidRPr="005E32F5">
        <w:rPr>
          <w:rFonts w:ascii="Times New Roman" w:hAnsi="Times New Roman" w:cs="Times New Roman"/>
        </w:rPr>
        <w:t>(</w:t>
      </w:r>
      <w:r w:rsidR="003C43CF" w:rsidRPr="005E32F5">
        <w:rPr>
          <w:rFonts w:ascii="Times New Roman" w:hAnsi="Times New Roman" w:cs="Times New Roman"/>
          <w:i/>
          <w:iCs/>
        </w:rPr>
        <w:t>q=1</w:t>
      </w:r>
      <w:r w:rsidR="003C43CF" w:rsidRPr="005E32F5">
        <w:rPr>
          <w:rFonts w:ascii="Times New Roman" w:hAnsi="Times New Roman" w:cs="Times New Roman"/>
        </w:rPr>
        <w:t xml:space="preserve">: 448.8 vs 432.5, </w:t>
      </w:r>
      <w:r w:rsidR="003C43CF" w:rsidRPr="005E32F5">
        <w:rPr>
          <w:rFonts w:ascii="Times New Roman" w:hAnsi="Times New Roman" w:cs="Times New Roman"/>
          <w:i/>
          <w:iCs/>
        </w:rPr>
        <w:t>p= 0.67</w:t>
      </w:r>
      <w:r w:rsidR="003C43CF" w:rsidRPr="005E32F5">
        <w:rPr>
          <w:rFonts w:ascii="Times New Roman" w:hAnsi="Times New Roman" w:cs="Times New Roman"/>
        </w:rPr>
        <w:t>).  Similarly, we found no significant difference in the effective number of species on salamanders seasonally, though salamanders sampled in the fall had the</w:t>
      </w:r>
    </w:p>
    <w:tbl>
      <w:tblPr>
        <w:tblpPr w:leftFromText="180" w:rightFromText="180" w:vertAnchor="text" w:horzAnchor="margin" w:tblpY="767"/>
        <w:tblW w:w="9167" w:type="dxa"/>
        <w:tblCellMar>
          <w:left w:w="0" w:type="dxa"/>
          <w:right w:w="0" w:type="dxa"/>
        </w:tblCellMar>
        <w:tblLook w:val="04A0" w:firstRow="1" w:lastRow="0" w:firstColumn="1" w:lastColumn="0" w:noHBand="0" w:noVBand="1"/>
      </w:tblPr>
      <w:tblGrid>
        <w:gridCol w:w="2687"/>
        <w:gridCol w:w="1080"/>
        <w:gridCol w:w="1080"/>
        <w:gridCol w:w="1080"/>
        <w:gridCol w:w="1080"/>
        <w:gridCol w:w="1080"/>
        <w:gridCol w:w="1080"/>
      </w:tblGrid>
      <w:tr w:rsidR="00D24CDA" w:rsidRPr="007B5A0E" w14:paraId="04E5D538" w14:textId="77777777" w:rsidTr="003D58F0">
        <w:trPr>
          <w:trHeight w:val="320"/>
        </w:trPr>
        <w:tc>
          <w:tcPr>
            <w:tcW w:w="2687" w:type="dxa"/>
            <w:tcBorders>
              <w:top w:val="nil"/>
              <w:left w:val="nil"/>
              <w:bottom w:val="single" w:sz="8" w:space="0" w:color="000000"/>
              <w:right w:val="single" w:sz="8" w:space="0" w:color="000000"/>
            </w:tcBorders>
            <w:shd w:val="clear" w:color="auto" w:fill="auto"/>
            <w:tcMar>
              <w:top w:w="15" w:type="dxa"/>
              <w:left w:w="108" w:type="dxa"/>
              <w:bottom w:w="0" w:type="dxa"/>
              <w:right w:w="108" w:type="dxa"/>
            </w:tcMar>
            <w:hideMark/>
          </w:tcPr>
          <w:p w14:paraId="322DCAE7" w14:textId="77777777" w:rsidR="00D24CDA" w:rsidRPr="007B5A0E" w:rsidRDefault="00D24CDA" w:rsidP="00D24CDA">
            <w:pPr>
              <w:rPr>
                <w:rFonts w:ascii="Times New Roman" w:hAnsi="Times New Roman" w:cs="Times New Roman"/>
                <w:sz w:val="20"/>
                <w:szCs w:val="20"/>
              </w:rPr>
            </w:pPr>
          </w:p>
        </w:tc>
        <w:tc>
          <w:tcPr>
            <w:tcW w:w="324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21CDC321"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Taxonomic</w:t>
            </w:r>
          </w:p>
        </w:tc>
        <w:tc>
          <w:tcPr>
            <w:tcW w:w="324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6DC3A034"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Phylogenetic</w:t>
            </w:r>
          </w:p>
        </w:tc>
      </w:tr>
      <w:tr w:rsidR="00D24CDA" w:rsidRPr="007B5A0E" w14:paraId="5BC33CDF" w14:textId="77777777" w:rsidTr="003D58F0">
        <w:trPr>
          <w:trHeight w:val="320"/>
        </w:trPr>
        <w:tc>
          <w:tcPr>
            <w:tcW w:w="2687"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hideMark/>
          </w:tcPr>
          <w:p w14:paraId="00316F3C"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Group</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84F285"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i/>
                <w:iCs/>
                <w:color w:val="000000"/>
                <w:kern w:val="24"/>
              </w:rPr>
              <w:t>q=0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5881C1"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i/>
                <w:iCs/>
                <w:color w:val="000000"/>
                <w:kern w:val="24"/>
              </w:rPr>
              <w:t>q=1</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769C1F"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i/>
                <w:iCs/>
                <w:color w:val="000000"/>
                <w:kern w:val="24"/>
              </w:rPr>
              <w:t>q=2</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501E1B"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i/>
                <w:iCs/>
                <w:color w:val="000000"/>
                <w:kern w:val="24"/>
              </w:rPr>
              <w:t>q=0</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9F9C98"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i/>
                <w:iCs/>
                <w:color w:val="000000"/>
                <w:kern w:val="24"/>
              </w:rPr>
              <w:t>q=1</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474232"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i/>
                <w:iCs/>
                <w:color w:val="000000"/>
                <w:kern w:val="24"/>
              </w:rPr>
              <w:t>q=2</w:t>
            </w:r>
          </w:p>
        </w:tc>
      </w:tr>
      <w:tr w:rsidR="00D24CDA" w:rsidRPr="007B5A0E" w14:paraId="047C4EFA" w14:textId="77777777" w:rsidTr="00D24CDA">
        <w:trPr>
          <w:trHeight w:val="320"/>
        </w:trPr>
        <w:tc>
          <w:tcPr>
            <w:tcW w:w="26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032681"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Aquatic Cover Objects</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E9077E"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1206.9</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D14484"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548.8</w:t>
            </w:r>
            <w:r w:rsidRPr="007B5A0E">
              <w:rPr>
                <w:rFonts w:ascii="Times New Roman" w:hAnsi="Times New Roman" w:cs="Times New Roman"/>
                <w:color w:val="000000"/>
                <w:kern w:val="24"/>
                <w:position w:val="7"/>
                <w:vertAlign w:val="superscript"/>
              </w:rPr>
              <w:t>A</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3E4A54"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262.4</w:t>
            </w:r>
            <w:r w:rsidRPr="007B5A0E">
              <w:rPr>
                <w:rFonts w:ascii="Times New Roman" w:hAnsi="Times New Roman" w:cs="Times New Roman"/>
                <w:color w:val="000000"/>
                <w:kern w:val="24"/>
                <w:position w:val="7"/>
                <w:vertAlign w:val="superscript"/>
              </w:rPr>
              <w:t>B</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B65234"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428</w:t>
            </w:r>
            <w:r w:rsidRPr="007B5A0E">
              <w:rPr>
                <w:rFonts w:ascii="Times New Roman" w:hAnsi="Times New Roman" w:cs="Times New Roman"/>
                <w:color w:val="000000"/>
                <w:kern w:val="24"/>
                <w:position w:val="7"/>
                <w:vertAlign w:val="superscript"/>
              </w:rPr>
              <w:t>C</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7C7EFE"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29.6</w:t>
            </w:r>
            <w:r w:rsidRPr="007B5A0E">
              <w:rPr>
                <w:rFonts w:ascii="Times New Roman" w:hAnsi="Times New Roman" w:cs="Times New Roman"/>
                <w:color w:val="000000"/>
                <w:kern w:val="24"/>
                <w:position w:val="7"/>
                <w:vertAlign w:val="superscript"/>
              </w:rPr>
              <w:t>D</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20918B"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16.9</w:t>
            </w:r>
            <w:r w:rsidRPr="007B5A0E">
              <w:rPr>
                <w:rFonts w:ascii="Times New Roman" w:hAnsi="Times New Roman" w:cs="Times New Roman"/>
                <w:color w:val="000000"/>
                <w:kern w:val="24"/>
                <w:position w:val="7"/>
                <w:vertAlign w:val="superscript"/>
              </w:rPr>
              <w:t>E</w:t>
            </w:r>
          </w:p>
        </w:tc>
      </w:tr>
      <w:tr w:rsidR="00D24CDA" w:rsidRPr="007B5A0E" w14:paraId="2456A8DF" w14:textId="77777777" w:rsidTr="003D58F0">
        <w:trPr>
          <w:trHeight w:val="289"/>
        </w:trPr>
        <w:tc>
          <w:tcPr>
            <w:tcW w:w="2687"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2FEE7941"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Aquatic Salamanders</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6AAE8170"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1028.3</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43A882D3"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448.8</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32AFAA07"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194.2</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181A8C10"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400.4</w:t>
            </w:r>
            <w:r w:rsidRPr="007B5A0E">
              <w:rPr>
                <w:rFonts w:ascii="Times New Roman" w:hAnsi="Times New Roman" w:cs="Times New Roman"/>
                <w:color w:val="000000"/>
                <w:kern w:val="24"/>
                <w:position w:val="7"/>
                <w:vertAlign w:val="superscript"/>
              </w:rPr>
              <w:t>F</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4D7BFA28"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29.3</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2838C126"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16.9</w:t>
            </w:r>
          </w:p>
        </w:tc>
      </w:tr>
      <w:tr w:rsidR="00D24CDA" w:rsidRPr="007B5A0E" w14:paraId="4C49BD96" w14:textId="77777777" w:rsidTr="00D24CDA">
        <w:trPr>
          <w:trHeight w:val="320"/>
        </w:trPr>
        <w:tc>
          <w:tcPr>
            <w:tcW w:w="26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99333A"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Terrestrial Cover Objects</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4F0519"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942</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835F6F"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370.8</w:t>
            </w:r>
            <w:r w:rsidRPr="007B5A0E">
              <w:rPr>
                <w:rFonts w:ascii="Times New Roman" w:hAnsi="Times New Roman" w:cs="Times New Roman"/>
                <w:color w:val="000000"/>
                <w:kern w:val="24"/>
                <w:position w:val="7"/>
                <w:vertAlign w:val="superscript"/>
              </w:rPr>
              <w:t>A</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F0E684"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158.1</w:t>
            </w:r>
            <w:r w:rsidRPr="007B5A0E">
              <w:rPr>
                <w:rFonts w:ascii="Times New Roman" w:hAnsi="Times New Roman" w:cs="Times New Roman"/>
                <w:color w:val="000000"/>
                <w:kern w:val="24"/>
                <w:position w:val="7"/>
                <w:vertAlign w:val="superscript"/>
              </w:rPr>
              <w:t>B</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C80A7B"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305.7</w:t>
            </w:r>
            <w:r w:rsidRPr="007B5A0E">
              <w:rPr>
                <w:rFonts w:ascii="Times New Roman" w:hAnsi="Times New Roman" w:cs="Times New Roman"/>
                <w:color w:val="000000"/>
                <w:kern w:val="24"/>
                <w:position w:val="7"/>
                <w:vertAlign w:val="superscript"/>
              </w:rPr>
              <w:t>C</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46D0D3"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25.3</w:t>
            </w:r>
            <w:r w:rsidRPr="007B5A0E">
              <w:rPr>
                <w:rFonts w:ascii="Times New Roman" w:hAnsi="Times New Roman" w:cs="Times New Roman"/>
                <w:color w:val="000000"/>
                <w:kern w:val="24"/>
                <w:position w:val="7"/>
                <w:vertAlign w:val="superscript"/>
              </w:rPr>
              <w:t>D</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C5F4B6"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15.6</w:t>
            </w:r>
            <w:r w:rsidRPr="007B5A0E">
              <w:rPr>
                <w:rFonts w:ascii="Times New Roman" w:hAnsi="Times New Roman" w:cs="Times New Roman"/>
                <w:color w:val="000000"/>
                <w:kern w:val="24"/>
                <w:position w:val="7"/>
                <w:vertAlign w:val="superscript"/>
              </w:rPr>
              <w:t>E</w:t>
            </w:r>
          </w:p>
        </w:tc>
      </w:tr>
      <w:tr w:rsidR="00D24CDA" w:rsidRPr="007B5A0E" w14:paraId="5A1A6CB1" w14:textId="77777777" w:rsidTr="003D58F0">
        <w:trPr>
          <w:trHeight w:val="320"/>
        </w:trPr>
        <w:tc>
          <w:tcPr>
            <w:tcW w:w="2687"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43FB0AAB"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Terrestrial Salamanders</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10D52089"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956.9</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5B4DD626"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432.5</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541D5A5A"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184.5</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052013C7"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333.1</w:t>
            </w:r>
            <w:r w:rsidRPr="007B5A0E">
              <w:rPr>
                <w:rFonts w:ascii="Times New Roman" w:hAnsi="Times New Roman" w:cs="Times New Roman"/>
                <w:color w:val="000000"/>
                <w:kern w:val="24"/>
                <w:position w:val="7"/>
                <w:vertAlign w:val="superscript"/>
              </w:rPr>
              <w:t>F</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3AA36E0B"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27.6</w:t>
            </w:r>
          </w:p>
        </w:tc>
        <w:tc>
          <w:tcPr>
            <w:tcW w:w="108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hideMark/>
          </w:tcPr>
          <w:p w14:paraId="2AC1710B" w14:textId="77777777" w:rsidR="00D24CDA" w:rsidRPr="007B5A0E" w:rsidRDefault="00D24CDA" w:rsidP="00D24CDA">
            <w:pPr>
              <w:jc w:val="center"/>
              <w:rPr>
                <w:rFonts w:ascii="Times New Roman" w:hAnsi="Times New Roman" w:cs="Times New Roman"/>
                <w:sz w:val="36"/>
                <w:szCs w:val="36"/>
              </w:rPr>
            </w:pPr>
            <w:r w:rsidRPr="007B5A0E">
              <w:rPr>
                <w:rFonts w:ascii="Times New Roman" w:hAnsi="Times New Roman" w:cs="Times New Roman"/>
                <w:color w:val="000000"/>
                <w:kern w:val="24"/>
              </w:rPr>
              <w:t>16.6</w:t>
            </w:r>
          </w:p>
        </w:tc>
      </w:tr>
    </w:tbl>
    <w:p w14:paraId="6B36B68F" w14:textId="06E65AF1" w:rsidR="00FA442E" w:rsidRPr="00491D83" w:rsidRDefault="00D24CDA">
      <w:pPr>
        <w:rPr>
          <w:rFonts w:ascii="Times New Roman" w:hAnsi="Times New Roman" w:cs="Times New Roman"/>
          <w:sz w:val="22"/>
          <w:szCs w:val="22"/>
        </w:rPr>
      </w:pPr>
      <w:r w:rsidRPr="00491D83">
        <w:rPr>
          <w:rFonts w:ascii="Times New Roman" w:hAnsi="Times New Roman" w:cs="Times New Roman"/>
        </w:rPr>
        <w:t xml:space="preserve"> </w:t>
      </w:r>
      <w:bookmarkStart w:id="110" w:name="_Toc165028996"/>
      <w:r w:rsidR="00FA442E" w:rsidRPr="00491D83">
        <w:rPr>
          <w:rFonts w:ascii="Times New Roman" w:hAnsi="Times New Roman" w:cs="Times New Roman"/>
        </w:rPr>
        <w:t xml:space="preserve">Table </w:t>
      </w:r>
      <w:r w:rsidR="00122B3E">
        <w:rPr>
          <w:rFonts w:ascii="Times New Roman" w:hAnsi="Times New Roman" w:cs="Times New Roman"/>
        </w:rPr>
        <w:fldChar w:fldCharType="begin"/>
      </w:r>
      <w:r w:rsidR="00122B3E">
        <w:rPr>
          <w:rFonts w:ascii="Times New Roman" w:hAnsi="Times New Roman" w:cs="Times New Roman"/>
        </w:rPr>
        <w:instrText xml:space="preserve"> SEQ Table \* ARABIC </w:instrText>
      </w:r>
      <w:r w:rsidR="00122B3E">
        <w:rPr>
          <w:rFonts w:ascii="Times New Roman" w:hAnsi="Times New Roman" w:cs="Times New Roman"/>
        </w:rPr>
        <w:fldChar w:fldCharType="separate"/>
      </w:r>
      <w:r w:rsidR="001648DD">
        <w:rPr>
          <w:rFonts w:ascii="Times New Roman" w:hAnsi="Times New Roman" w:cs="Times New Roman"/>
          <w:noProof/>
        </w:rPr>
        <w:t>6</w:t>
      </w:r>
      <w:r w:rsidR="00122B3E">
        <w:rPr>
          <w:rFonts w:ascii="Times New Roman" w:hAnsi="Times New Roman" w:cs="Times New Roman"/>
        </w:rPr>
        <w:fldChar w:fldCharType="end"/>
      </w:r>
      <w:r w:rsidR="00FA442E" w:rsidRPr="00491D83">
        <w:rPr>
          <w:rFonts w:ascii="Times New Roman" w:hAnsi="Times New Roman" w:cs="Times New Roman"/>
        </w:rPr>
        <w:t>: Taxonomic and Phylogenetic diversity estimates by habitat.</w:t>
      </w:r>
      <w:r w:rsidRPr="00491D83">
        <w:rPr>
          <w:rFonts w:ascii="Times New Roman" w:hAnsi="Times New Roman" w:cs="Times New Roman"/>
        </w:rPr>
        <w:t xml:space="preserve"> Superscripts denote statistical significance of paired comparisons.</w:t>
      </w:r>
      <w:bookmarkEnd w:id="110"/>
      <w:r w:rsidRPr="00491D83">
        <w:rPr>
          <w:rFonts w:ascii="Times New Roman" w:hAnsi="Times New Roman" w:cs="Times New Roman"/>
        </w:rPr>
        <w:t xml:space="preserve"> </w:t>
      </w:r>
      <w:r w:rsidR="00FA442E" w:rsidRPr="00491D83">
        <w:rPr>
          <w:rFonts w:ascii="Times New Roman" w:hAnsi="Times New Roman" w:cs="Times New Roman"/>
          <w:sz w:val="22"/>
          <w:szCs w:val="22"/>
        </w:rPr>
        <w:br w:type="page"/>
      </w:r>
    </w:p>
    <w:p w14:paraId="76A49AC8" w14:textId="6D9589FC" w:rsidR="002F0DCF" w:rsidRPr="005E32F5" w:rsidRDefault="002F0DCF" w:rsidP="00FA442E">
      <w:pPr>
        <w:spacing w:line="360" w:lineRule="auto"/>
        <w:rPr>
          <w:rFonts w:ascii="Times New Roman" w:hAnsi="Times New Roman" w:cs="Times New Roman"/>
        </w:rPr>
      </w:pPr>
      <w:r w:rsidRPr="005E32F5">
        <w:rPr>
          <w:rFonts w:ascii="Times New Roman" w:hAnsi="Times New Roman" w:cs="Times New Roman"/>
        </w:rPr>
        <w:lastRenderedPageBreak/>
        <w:t>fewest effective species, while salamanders sampled in the Spring had the highest (</w:t>
      </w:r>
      <w:r w:rsidRPr="005E32F5">
        <w:rPr>
          <w:rFonts w:ascii="Times New Roman" w:hAnsi="Times New Roman" w:cs="Times New Roman"/>
          <w:i/>
          <w:iCs/>
        </w:rPr>
        <w:t>p=0.085</w:t>
      </w:r>
      <w:r w:rsidRPr="005E32F5">
        <w:rPr>
          <w:rFonts w:ascii="Times New Roman" w:hAnsi="Times New Roman" w:cs="Times New Roman"/>
        </w:rPr>
        <w:t xml:space="preserve">, </w:t>
      </w:r>
      <w:r w:rsidRPr="005E32F5">
        <w:rPr>
          <w:rFonts w:ascii="Times New Roman" w:hAnsi="Times New Roman" w:cs="Times New Roman"/>
          <w:b/>
          <w:bCs/>
        </w:rPr>
        <w:t xml:space="preserve">Table </w:t>
      </w:r>
      <w:r w:rsidR="00095B23">
        <w:rPr>
          <w:rFonts w:ascii="Times New Roman" w:hAnsi="Times New Roman" w:cs="Times New Roman"/>
          <w:b/>
          <w:bCs/>
        </w:rPr>
        <w:t>7</w:t>
      </w:r>
      <w:r w:rsidRPr="005E32F5">
        <w:rPr>
          <w:rFonts w:ascii="Times New Roman" w:hAnsi="Times New Roman" w:cs="Times New Roman"/>
        </w:rPr>
        <w:t xml:space="preserve">). </w:t>
      </w:r>
    </w:p>
    <w:p w14:paraId="057F0F55" w14:textId="77777777" w:rsidR="00FA442E" w:rsidRDefault="002F0DCF" w:rsidP="00FA442E">
      <w:pPr>
        <w:spacing w:line="360" w:lineRule="auto"/>
        <w:ind w:firstLine="720"/>
        <w:rPr>
          <w:rFonts w:ascii="Times New Roman" w:hAnsi="Times New Roman" w:cs="Times New Roman"/>
        </w:rPr>
      </w:pPr>
      <w:r w:rsidRPr="005E32F5">
        <w:rPr>
          <w:rFonts w:ascii="Times New Roman" w:hAnsi="Times New Roman" w:cs="Times New Roman"/>
        </w:rPr>
        <w:t xml:space="preserve">Phylogenetic alpha diversity showed trends consistent with taxonomic assessments. While there were significantly higher effective lineages on aquatic cover objects compared to terrestrial cover objects in all phylogenetic diversity metrics (all </w:t>
      </w:r>
      <w:r w:rsidRPr="005E32F5">
        <w:rPr>
          <w:rFonts w:ascii="Times New Roman" w:hAnsi="Times New Roman" w:cs="Times New Roman"/>
          <w:i/>
          <w:iCs/>
        </w:rPr>
        <w:t>p values &lt;0.05</w:t>
      </w:r>
      <w:r w:rsidRPr="005E32F5">
        <w:rPr>
          <w:rFonts w:ascii="Times New Roman" w:hAnsi="Times New Roman" w:cs="Times New Roman"/>
        </w:rPr>
        <w:t>), there were no significant differences between diversity in communities on salamanders and diversity in communities on cover objects for either habitat. Salamanders-associated communities tended to have slightly higher phylogenetic diversity than their cover objects (</w:t>
      </w:r>
      <w:r w:rsidRPr="005E32F5">
        <w:rPr>
          <w:rFonts w:ascii="Times New Roman" w:hAnsi="Times New Roman" w:cs="Times New Roman"/>
          <w:b/>
          <w:bCs/>
        </w:rPr>
        <w:t xml:space="preserve">Table </w:t>
      </w:r>
      <w:r w:rsidR="00095B23">
        <w:rPr>
          <w:rFonts w:ascii="Times New Roman" w:hAnsi="Times New Roman" w:cs="Times New Roman"/>
          <w:b/>
          <w:bCs/>
        </w:rPr>
        <w:t>6</w:t>
      </w:r>
      <w:r w:rsidRPr="005E32F5">
        <w:rPr>
          <w:rFonts w:ascii="Times New Roman" w:hAnsi="Times New Roman" w:cs="Times New Roman"/>
        </w:rPr>
        <w:t xml:space="preserve">). Aquatic salamanders had significantly higher effective lineages at </w:t>
      </w:r>
      <w:r w:rsidRPr="005E32F5">
        <w:rPr>
          <w:rFonts w:ascii="Times New Roman" w:hAnsi="Times New Roman" w:cs="Times New Roman"/>
          <w:i/>
          <w:iCs/>
        </w:rPr>
        <w:t>q=0</w:t>
      </w:r>
      <w:r w:rsidRPr="005E32F5">
        <w:rPr>
          <w:rFonts w:ascii="Times New Roman" w:hAnsi="Times New Roman" w:cs="Times New Roman"/>
        </w:rPr>
        <w:t xml:space="preserve"> than terrestrial salamanders </w:t>
      </w:r>
      <w:r w:rsidR="00FA442E" w:rsidRPr="005E32F5">
        <w:rPr>
          <w:rFonts w:ascii="Times New Roman" w:hAnsi="Times New Roman" w:cs="Times New Roman"/>
        </w:rPr>
        <w:t xml:space="preserve">(400.4 vs 333.1, </w:t>
      </w:r>
      <w:r w:rsidR="00FA442E" w:rsidRPr="005E32F5">
        <w:rPr>
          <w:rFonts w:ascii="Times New Roman" w:hAnsi="Times New Roman" w:cs="Times New Roman"/>
          <w:i/>
          <w:iCs/>
        </w:rPr>
        <w:t>p=0.029</w:t>
      </w:r>
      <w:r w:rsidR="00FA442E" w:rsidRPr="005E32F5">
        <w:rPr>
          <w:rFonts w:ascii="Times New Roman" w:hAnsi="Times New Roman" w:cs="Times New Roman"/>
        </w:rPr>
        <w:t xml:space="preserve">), but not at </w:t>
      </w:r>
      <w:r w:rsidR="00FA442E" w:rsidRPr="005E32F5">
        <w:rPr>
          <w:rFonts w:ascii="Times New Roman" w:hAnsi="Times New Roman" w:cs="Times New Roman"/>
          <w:i/>
          <w:iCs/>
        </w:rPr>
        <w:t>q=1</w:t>
      </w:r>
      <w:r w:rsidR="00FA442E" w:rsidRPr="005E32F5">
        <w:rPr>
          <w:rFonts w:ascii="Times New Roman" w:hAnsi="Times New Roman" w:cs="Times New Roman"/>
        </w:rPr>
        <w:t xml:space="preserve"> or </w:t>
      </w:r>
      <w:r w:rsidR="00FA442E" w:rsidRPr="005E32F5">
        <w:rPr>
          <w:rFonts w:ascii="Times New Roman" w:hAnsi="Times New Roman" w:cs="Times New Roman"/>
          <w:i/>
          <w:iCs/>
        </w:rPr>
        <w:t>q=2</w:t>
      </w:r>
      <w:r w:rsidR="00FA442E" w:rsidRPr="005E32F5">
        <w:rPr>
          <w:rFonts w:ascii="Times New Roman" w:hAnsi="Times New Roman" w:cs="Times New Roman"/>
        </w:rPr>
        <w:t xml:space="preserve"> (</w:t>
      </w:r>
      <w:r w:rsidR="00FA442E" w:rsidRPr="005E32F5">
        <w:rPr>
          <w:rFonts w:ascii="Times New Roman" w:hAnsi="Times New Roman" w:cs="Times New Roman"/>
          <w:i/>
          <w:iCs/>
        </w:rPr>
        <w:t>p=0.18</w:t>
      </w:r>
      <w:r w:rsidR="00FA442E" w:rsidRPr="005E32F5">
        <w:rPr>
          <w:rFonts w:ascii="Times New Roman" w:hAnsi="Times New Roman" w:cs="Times New Roman"/>
        </w:rPr>
        <w:t xml:space="preserve">, </w:t>
      </w:r>
      <w:r w:rsidR="00FA442E" w:rsidRPr="005E32F5">
        <w:rPr>
          <w:rFonts w:ascii="Times New Roman" w:hAnsi="Times New Roman" w:cs="Times New Roman"/>
          <w:i/>
          <w:iCs/>
        </w:rPr>
        <w:t>p=0.92</w:t>
      </w:r>
      <w:r w:rsidR="00FA442E" w:rsidRPr="005E32F5">
        <w:rPr>
          <w:rFonts w:ascii="Times New Roman" w:hAnsi="Times New Roman" w:cs="Times New Roman"/>
        </w:rPr>
        <w:t>). Evaluating the effects of season on alpha diversity of salamander-associated communities found communities sampled in the Spring had significantly higher phylogenetic richness than salamanders sampled in the Fall (</w:t>
      </w:r>
      <w:r w:rsidR="00FA442E" w:rsidRPr="005E32F5">
        <w:rPr>
          <w:rFonts w:ascii="Times New Roman" w:hAnsi="Times New Roman" w:cs="Times New Roman"/>
          <w:i/>
          <w:iCs/>
        </w:rPr>
        <w:t>p=0.029</w:t>
      </w:r>
      <w:r w:rsidR="00FA442E" w:rsidRPr="005E32F5">
        <w:rPr>
          <w:rFonts w:ascii="Times New Roman" w:hAnsi="Times New Roman" w:cs="Times New Roman"/>
        </w:rPr>
        <w:t xml:space="preserve">), but this trend was not supported at higher orders of diversity, and no other seasonal comparisons were statistically significant. </w:t>
      </w:r>
    </w:p>
    <w:p w14:paraId="7C949B17" w14:textId="77777777" w:rsidR="00FA442E" w:rsidRPr="00491D83" w:rsidRDefault="00FA442E" w:rsidP="00FA442E">
      <w:pPr>
        <w:pStyle w:val="Heading3"/>
        <w:spacing w:line="360" w:lineRule="auto"/>
        <w:rPr>
          <w:rFonts w:ascii="Times New Roman" w:hAnsi="Times New Roman" w:cs="Times New Roman"/>
          <w:b w:val="0"/>
          <w:bCs w:val="0"/>
          <w:i w:val="0"/>
          <w:iCs/>
        </w:rPr>
      </w:pPr>
      <w:bookmarkStart w:id="111" w:name="_Toc165028087"/>
      <w:r w:rsidRPr="00491D83">
        <w:rPr>
          <w:rFonts w:ascii="Times New Roman" w:hAnsi="Times New Roman" w:cs="Times New Roman"/>
          <w:b w:val="0"/>
          <w:bCs w:val="0"/>
          <w:iCs/>
        </w:rPr>
        <w:t xml:space="preserve">Evenness increases with host habitat </w:t>
      </w:r>
      <w:proofErr w:type="gramStart"/>
      <w:r w:rsidRPr="00491D83">
        <w:rPr>
          <w:rFonts w:ascii="Times New Roman" w:hAnsi="Times New Roman" w:cs="Times New Roman"/>
          <w:b w:val="0"/>
          <w:bCs w:val="0"/>
          <w:iCs/>
        </w:rPr>
        <w:t>shifts</w:t>
      </w:r>
      <w:bookmarkEnd w:id="111"/>
      <w:proofErr w:type="gramEnd"/>
    </w:p>
    <w:p w14:paraId="6C0EC527" w14:textId="77777777" w:rsidR="00FA442E" w:rsidRDefault="00FA442E" w:rsidP="00FA442E">
      <w:pPr>
        <w:spacing w:line="360" w:lineRule="auto"/>
        <w:ind w:firstLine="720"/>
        <w:rPr>
          <w:rFonts w:ascii="Times New Roman" w:hAnsi="Times New Roman" w:cs="Times New Roman"/>
        </w:rPr>
      </w:pPr>
      <w:r w:rsidRPr="005E32F5">
        <w:rPr>
          <w:rFonts w:ascii="Times New Roman" w:hAnsi="Times New Roman" w:cs="Times New Roman"/>
        </w:rPr>
        <w:t xml:space="preserve">Standardized evenness metrics take on a maximum value of 1 (completely even) and a minimum value of 0. At </w:t>
      </w:r>
      <w:r w:rsidRPr="005E32F5">
        <w:rPr>
          <w:rFonts w:ascii="Times New Roman" w:hAnsi="Times New Roman" w:cs="Times New Roman"/>
          <w:i/>
          <w:iCs/>
        </w:rPr>
        <w:t>q=0</w:t>
      </w:r>
      <w:r w:rsidRPr="005E32F5">
        <w:rPr>
          <w:rFonts w:ascii="Times New Roman" w:hAnsi="Times New Roman" w:cs="Times New Roman"/>
        </w:rPr>
        <w:t xml:space="preserve"> (richness), evenness is defined as 1. Declines in the effective number of species were observed at increasing orders of diversity, implying inequity of abundances found on salamander and cover object samples. Both salamanders and cover objects show similar patterns of evenness from </w:t>
      </w:r>
      <w:r w:rsidRPr="005E32F5">
        <w:rPr>
          <w:rFonts w:ascii="Times New Roman" w:hAnsi="Times New Roman" w:cs="Times New Roman"/>
          <w:i/>
          <w:iCs/>
        </w:rPr>
        <w:t>q=0</w:t>
      </w:r>
      <w:r w:rsidRPr="005E32F5">
        <w:rPr>
          <w:rFonts w:ascii="Times New Roman" w:hAnsi="Times New Roman" w:cs="Times New Roman"/>
        </w:rPr>
        <w:t xml:space="preserve"> to </w:t>
      </w:r>
      <w:r w:rsidRPr="005E32F5">
        <w:rPr>
          <w:rFonts w:ascii="Times New Roman" w:hAnsi="Times New Roman" w:cs="Times New Roman"/>
          <w:i/>
          <w:iCs/>
        </w:rPr>
        <w:t>q=2</w:t>
      </w:r>
      <w:r w:rsidRPr="005E32F5">
        <w:rPr>
          <w:rFonts w:ascii="Times New Roman" w:hAnsi="Times New Roman" w:cs="Times New Roman"/>
        </w:rPr>
        <w:t xml:space="preserve">, with a mean evenness value of 0.45 for salamanders and 0.41 for cover objects at </w:t>
      </w:r>
      <w:r w:rsidRPr="005E32F5">
        <w:rPr>
          <w:rFonts w:ascii="Times New Roman" w:hAnsi="Times New Roman" w:cs="Times New Roman"/>
          <w:i/>
          <w:iCs/>
        </w:rPr>
        <w:t>q=1</w:t>
      </w:r>
      <w:r w:rsidRPr="005E32F5">
        <w:rPr>
          <w:rFonts w:ascii="Times New Roman" w:hAnsi="Times New Roman" w:cs="Times New Roman"/>
        </w:rPr>
        <w:t>,</w:t>
      </w:r>
      <w:r w:rsidRPr="005E32F5">
        <w:rPr>
          <w:rFonts w:ascii="Times New Roman" w:hAnsi="Times New Roman" w:cs="Times New Roman"/>
          <w:i/>
          <w:iCs/>
        </w:rPr>
        <w:t xml:space="preserve"> </w:t>
      </w:r>
      <w:r w:rsidRPr="005E32F5">
        <w:rPr>
          <w:rFonts w:ascii="Times New Roman" w:hAnsi="Times New Roman" w:cs="Times New Roman"/>
        </w:rPr>
        <w:t xml:space="preserve">and 0.20 for salamanders and 0.18 for cover objects at </w:t>
      </w:r>
      <w:r w:rsidRPr="005E32F5">
        <w:rPr>
          <w:rFonts w:ascii="Times New Roman" w:hAnsi="Times New Roman" w:cs="Times New Roman"/>
          <w:i/>
          <w:iCs/>
        </w:rPr>
        <w:t>q=2.</w:t>
      </w:r>
      <w:r w:rsidRPr="005E32F5">
        <w:rPr>
          <w:rFonts w:ascii="Times New Roman" w:hAnsi="Times New Roman" w:cs="Times New Roman"/>
        </w:rPr>
        <w:t xml:space="preserve"> For 7/9 sampling sites, salamanders underwent habitat shifts before Summer and Winter sampling. Evenness trends of these samples revealed salamander communities were more even in the Summer and Winter (means= 0.51, 0.49) than in Spring and Fall (means= 0.42, 0.40) at </w:t>
      </w:r>
      <w:r w:rsidRPr="005E32F5">
        <w:rPr>
          <w:rFonts w:ascii="Times New Roman" w:hAnsi="Times New Roman" w:cs="Times New Roman"/>
          <w:i/>
          <w:iCs/>
        </w:rPr>
        <w:t xml:space="preserve">q=1 </w:t>
      </w:r>
      <w:r w:rsidRPr="005E32F5">
        <w:rPr>
          <w:rFonts w:ascii="Times New Roman" w:hAnsi="Times New Roman" w:cs="Times New Roman"/>
        </w:rPr>
        <w:t>(</w:t>
      </w:r>
      <w:r w:rsidRPr="005E32F5">
        <w:rPr>
          <w:rFonts w:ascii="Times New Roman" w:hAnsi="Times New Roman" w:cs="Times New Roman"/>
          <w:b/>
          <w:bCs/>
        </w:rPr>
        <w:t>Fig. 11</w:t>
      </w:r>
      <w:r w:rsidRPr="005E32F5">
        <w:rPr>
          <w:rFonts w:ascii="Times New Roman" w:hAnsi="Times New Roman" w:cs="Times New Roman"/>
        </w:rPr>
        <w:t>)</w:t>
      </w:r>
      <w:r w:rsidRPr="005E32F5">
        <w:rPr>
          <w:rFonts w:ascii="Times New Roman" w:hAnsi="Times New Roman" w:cs="Times New Roman"/>
          <w:i/>
          <w:iCs/>
        </w:rPr>
        <w:t xml:space="preserve">, </w:t>
      </w:r>
      <w:r w:rsidRPr="005E32F5">
        <w:rPr>
          <w:rFonts w:ascii="Times New Roman" w:hAnsi="Times New Roman" w:cs="Times New Roman"/>
        </w:rPr>
        <w:t xml:space="preserve">while cover objects showed no patterns in evenness seasonally. </w:t>
      </w:r>
    </w:p>
    <w:p w14:paraId="2A061A7E" w14:textId="77777777" w:rsidR="003C43CF" w:rsidRPr="00491D83" w:rsidRDefault="003C43CF" w:rsidP="003C43CF">
      <w:pPr>
        <w:pStyle w:val="Heading3"/>
        <w:rPr>
          <w:rFonts w:ascii="Times New Roman" w:hAnsi="Times New Roman" w:cs="Times New Roman"/>
          <w:b w:val="0"/>
          <w:bCs w:val="0"/>
          <w:i w:val="0"/>
          <w:iCs/>
        </w:rPr>
      </w:pPr>
      <w:bookmarkStart w:id="112" w:name="_Toc165028088"/>
      <w:r w:rsidRPr="00491D83">
        <w:rPr>
          <w:rFonts w:ascii="Times New Roman" w:hAnsi="Times New Roman" w:cs="Times New Roman"/>
          <w:b w:val="0"/>
          <w:bCs w:val="0"/>
          <w:iCs/>
        </w:rPr>
        <w:t xml:space="preserve">Turnover exacerbated by host habitat </w:t>
      </w:r>
      <w:proofErr w:type="gramStart"/>
      <w:r w:rsidRPr="00491D83">
        <w:rPr>
          <w:rFonts w:ascii="Times New Roman" w:hAnsi="Times New Roman" w:cs="Times New Roman"/>
          <w:b w:val="0"/>
          <w:bCs w:val="0"/>
          <w:iCs/>
        </w:rPr>
        <w:t>shifts</w:t>
      </w:r>
      <w:bookmarkEnd w:id="112"/>
      <w:proofErr w:type="gramEnd"/>
    </w:p>
    <w:p w14:paraId="234BA401" w14:textId="2AAF30A5" w:rsidR="008F5313" w:rsidRPr="00A26202" w:rsidRDefault="003C43CF" w:rsidP="00A26202">
      <w:pPr>
        <w:spacing w:line="360" w:lineRule="auto"/>
        <w:ind w:firstLine="720"/>
        <w:rPr>
          <w:rFonts w:ascii="Times New Roman" w:hAnsi="Times New Roman" w:cs="Times New Roman"/>
        </w:rPr>
      </w:pPr>
      <w:r w:rsidRPr="005E32F5">
        <w:rPr>
          <w:rFonts w:ascii="Times New Roman" w:hAnsi="Times New Roman" w:cs="Times New Roman"/>
        </w:rPr>
        <w:t xml:space="preserve">Previously, we found that while salamander-associated communities were heterogenous even within a site, microhabitat utilization contributed to fine-scale differences between salamander species and aquatic and terrestrial habitats were highly differentiated. Given that </w:t>
      </w:r>
      <w:proofErr w:type="gramStart"/>
      <w:r w:rsidRPr="005E32F5">
        <w:rPr>
          <w:rFonts w:ascii="Times New Roman" w:hAnsi="Times New Roman" w:cs="Times New Roman"/>
        </w:rPr>
        <w:t>our</w:t>
      </w:r>
      <w:proofErr w:type="gramEnd"/>
    </w:p>
    <w:p w14:paraId="5639F4AA" w14:textId="6AE5F650" w:rsidR="008F5313" w:rsidRPr="00491D83" w:rsidRDefault="008F5313" w:rsidP="00EB5909">
      <w:pPr>
        <w:pStyle w:val="Caption"/>
        <w:rPr>
          <w:rFonts w:ascii="Times New Roman" w:hAnsi="Times New Roman" w:cs="Times New Roman"/>
          <w:b w:val="0"/>
          <w:bCs w:val="0"/>
        </w:rPr>
      </w:pPr>
      <w:r w:rsidRPr="00491D83">
        <w:rPr>
          <w:rFonts w:ascii="Times New Roman" w:hAnsi="Times New Roman" w:cs="Times New Roman"/>
          <w:b w:val="0"/>
          <w:bCs w:val="0"/>
        </w:rPr>
        <w:lastRenderedPageBreak/>
        <w:t xml:space="preserve"> </w:t>
      </w:r>
      <w:bookmarkStart w:id="113" w:name="_Toc165028997"/>
      <w:r w:rsidRPr="00491D83">
        <w:rPr>
          <w:rFonts w:ascii="Times New Roman" w:hAnsi="Times New Roman" w:cs="Times New Roman"/>
          <w:b w:val="0"/>
          <w:bCs w:val="0"/>
        </w:rPr>
        <w:t xml:space="preserve">Table </w:t>
      </w:r>
      <w:r w:rsidR="00122B3E">
        <w:rPr>
          <w:rFonts w:ascii="Times New Roman" w:hAnsi="Times New Roman" w:cs="Times New Roman"/>
          <w:b w:val="0"/>
          <w:bCs w:val="0"/>
        </w:rPr>
        <w:fldChar w:fldCharType="begin"/>
      </w:r>
      <w:r w:rsidR="00122B3E">
        <w:rPr>
          <w:rFonts w:ascii="Times New Roman" w:hAnsi="Times New Roman" w:cs="Times New Roman"/>
          <w:b w:val="0"/>
          <w:bCs w:val="0"/>
        </w:rPr>
        <w:instrText xml:space="preserve"> SEQ Table \* ARABIC </w:instrText>
      </w:r>
      <w:r w:rsidR="00122B3E">
        <w:rPr>
          <w:rFonts w:ascii="Times New Roman" w:hAnsi="Times New Roman" w:cs="Times New Roman"/>
          <w:b w:val="0"/>
          <w:bCs w:val="0"/>
        </w:rPr>
        <w:fldChar w:fldCharType="separate"/>
      </w:r>
      <w:r w:rsidR="001648DD">
        <w:rPr>
          <w:rFonts w:ascii="Times New Roman" w:hAnsi="Times New Roman" w:cs="Times New Roman"/>
          <w:b w:val="0"/>
          <w:bCs w:val="0"/>
          <w:noProof/>
        </w:rPr>
        <w:t>7</w:t>
      </w:r>
      <w:r w:rsidR="00122B3E">
        <w:rPr>
          <w:rFonts w:ascii="Times New Roman" w:hAnsi="Times New Roman" w:cs="Times New Roman"/>
          <w:b w:val="0"/>
          <w:bCs w:val="0"/>
        </w:rPr>
        <w:fldChar w:fldCharType="end"/>
      </w:r>
      <w:r w:rsidRPr="00491D83">
        <w:rPr>
          <w:rFonts w:ascii="Times New Roman" w:hAnsi="Times New Roman" w:cs="Times New Roman"/>
          <w:b w:val="0"/>
          <w:bCs w:val="0"/>
        </w:rPr>
        <w:t>: Seasonal taxonomic and phylogenetic diversity for salamander-associated assemblages.</w:t>
      </w:r>
      <w:r w:rsidR="00D24CDA" w:rsidRPr="00491D83">
        <w:rPr>
          <w:rFonts w:ascii="Times New Roman" w:hAnsi="Times New Roman" w:cs="Times New Roman"/>
          <w:b w:val="0"/>
          <w:bCs w:val="0"/>
        </w:rPr>
        <w:t xml:space="preserve"> Superscripts denote statistical significance of paired comparisons.</w:t>
      </w:r>
      <w:bookmarkEnd w:id="113"/>
    </w:p>
    <w:tbl>
      <w:tblPr>
        <w:tblpPr w:leftFromText="180" w:rightFromText="180" w:vertAnchor="text" w:horzAnchor="margin" w:tblpY="71"/>
        <w:tblW w:w="8970" w:type="dxa"/>
        <w:tblCellMar>
          <w:left w:w="0" w:type="dxa"/>
          <w:right w:w="0" w:type="dxa"/>
        </w:tblCellMar>
        <w:tblLook w:val="04A0" w:firstRow="1" w:lastRow="0" w:firstColumn="1" w:lastColumn="0" w:noHBand="0" w:noVBand="1"/>
      </w:tblPr>
      <w:tblGrid>
        <w:gridCol w:w="1800"/>
        <w:gridCol w:w="1195"/>
        <w:gridCol w:w="1195"/>
        <w:gridCol w:w="1195"/>
        <w:gridCol w:w="1195"/>
        <w:gridCol w:w="1195"/>
        <w:gridCol w:w="1195"/>
      </w:tblGrid>
      <w:tr w:rsidR="008F5313" w:rsidRPr="007B5A0E" w14:paraId="4DC7F9DB" w14:textId="77777777" w:rsidTr="00D339EF">
        <w:trPr>
          <w:trHeight w:val="320"/>
        </w:trPr>
        <w:tc>
          <w:tcPr>
            <w:tcW w:w="1800" w:type="dxa"/>
            <w:tcBorders>
              <w:top w:val="nil"/>
              <w:left w:val="nil"/>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C178D98" w14:textId="77777777" w:rsidR="008F5313" w:rsidRPr="007B5A0E" w:rsidRDefault="008F5313" w:rsidP="008F5313">
            <w:pPr>
              <w:jc w:val="center"/>
              <w:rPr>
                <w:rFonts w:ascii="Times New Roman" w:hAnsi="Times New Roman" w:cs="Times New Roman"/>
              </w:rPr>
            </w:pPr>
          </w:p>
        </w:tc>
        <w:tc>
          <w:tcPr>
            <w:tcW w:w="3585"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14:paraId="7E9FC825"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Taxonomic</w:t>
            </w:r>
          </w:p>
        </w:tc>
        <w:tc>
          <w:tcPr>
            <w:tcW w:w="3585"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14:paraId="52CE4207"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Phylogenetic</w:t>
            </w:r>
          </w:p>
        </w:tc>
      </w:tr>
      <w:tr w:rsidR="008F5313" w:rsidRPr="007B5A0E" w14:paraId="3CD11586" w14:textId="77777777" w:rsidTr="003D58F0">
        <w:trPr>
          <w:trHeight w:val="320"/>
        </w:trPr>
        <w:tc>
          <w:tcPr>
            <w:tcW w:w="180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5" w:type="dxa"/>
              <w:left w:w="108" w:type="dxa"/>
              <w:bottom w:w="0" w:type="dxa"/>
              <w:right w:w="108" w:type="dxa"/>
            </w:tcMar>
            <w:vAlign w:val="center"/>
            <w:hideMark/>
          </w:tcPr>
          <w:p w14:paraId="0BC9354E"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Salamanders</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10EB6A5"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i/>
                <w:iCs/>
              </w:rPr>
              <w:t>q=0</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C81B274"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i/>
                <w:iCs/>
              </w:rPr>
              <w:t>q=1</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A7F62A"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i/>
                <w:iCs/>
              </w:rPr>
              <w:t>q=2</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9B83FF"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i/>
                <w:iCs/>
              </w:rPr>
              <w:t>q=0</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23A634"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i/>
                <w:iCs/>
              </w:rPr>
              <w:t>q=1</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BABE730"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i/>
                <w:iCs/>
              </w:rPr>
              <w:t>q=2</w:t>
            </w:r>
          </w:p>
        </w:tc>
      </w:tr>
      <w:tr w:rsidR="008F5313" w:rsidRPr="007B5A0E" w14:paraId="6442E0C5" w14:textId="77777777" w:rsidTr="008F5313">
        <w:trPr>
          <w:trHeight w:val="320"/>
        </w:trPr>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C337D89"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Spring</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E63D207"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1218.9</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67D278A"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520</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A62C089"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220.9</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98114B8"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426.23</w:t>
            </w:r>
            <w:r w:rsidRPr="007B5A0E">
              <w:rPr>
                <w:rFonts w:ascii="Times New Roman" w:hAnsi="Times New Roman" w:cs="Times New Roman"/>
                <w:vertAlign w:val="superscript"/>
              </w:rPr>
              <w:t>A</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804C596"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27.6</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A1CF72B"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16.5</w:t>
            </w:r>
          </w:p>
        </w:tc>
      </w:tr>
      <w:tr w:rsidR="008F5313" w:rsidRPr="007B5A0E" w14:paraId="3AC4C329" w14:textId="77777777" w:rsidTr="003D58F0">
        <w:trPr>
          <w:trHeight w:val="320"/>
        </w:trPr>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74B5CF96"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Summer</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7DE9AE84"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983.1</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08D8F5EB"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486.1</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065EE482"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214.6</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0171022F"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334.5</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676D65F7"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28</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6AEDAAF7"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16.7</w:t>
            </w:r>
          </w:p>
        </w:tc>
      </w:tr>
      <w:tr w:rsidR="008F5313" w:rsidRPr="007B5A0E" w14:paraId="14BD1B1B" w14:textId="77777777" w:rsidTr="008F5313">
        <w:trPr>
          <w:trHeight w:val="320"/>
        </w:trPr>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97FD848"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Fall</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8991A93"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823.5</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49D39C5"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318.6</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BDEF2A"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120.2</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78D0BBB"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318.5</w:t>
            </w:r>
            <w:r w:rsidRPr="007B5A0E">
              <w:rPr>
                <w:rFonts w:ascii="Times New Roman" w:hAnsi="Times New Roman" w:cs="Times New Roman"/>
                <w:vertAlign w:val="superscript"/>
              </w:rPr>
              <w:t>A</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907C6F2"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28</w:t>
            </w:r>
          </w:p>
        </w:tc>
        <w:tc>
          <w:tcPr>
            <w:tcW w:w="119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A680CBA"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16.9</w:t>
            </w:r>
          </w:p>
        </w:tc>
      </w:tr>
      <w:tr w:rsidR="008F5313" w:rsidRPr="007B5A0E" w14:paraId="258C0888" w14:textId="77777777" w:rsidTr="003D58F0">
        <w:trPr>
          <w:trHeight w:val="320"/>
        </w:trPr>
        <w:tc>
          <w:tcPr>
            <w:tcW w:w="180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35C5A4FD"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Winter</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7A575101"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949.6</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02CB7E11"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443.4</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53AFF877"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204.8</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0DBC01B"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381.1</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2965923E"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29.8</w:t>
            </w:r>
          </w:p>
        </w:tc>
        <w:tc>
          <w:tcPr>
            <w:tcW w:w="1195"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08" w:type="dxa"/>
              <w:bottom w:w="0" w:type="dxa"/>
              <w:right w:w="108" w:type="dxa"/>
            </w:tcMar>
            <w:vAlign w:val="center"/>
            <w:hideMark/>
          </w:tcPr>
          <w:p w14:paraId="38A82479" w14:textId="77777777" w:rsidR="008F5313" w:rsidRPr="007B5A0E" w:rsidRDefault="008F5313" w:rsidP="008F5313">
            <w:pPr>
              <w:jc w:val="center"/>
              <w:rPr>
                <w:rFonts w:ascii="Times New Roman" w:hAnsi="Times New Roman" w:cs="Times New Roman"/>
              </w:rPr>
            </w:pPr>
            <w:r w:rsidRPr="007B5A0E">
              <w:rPr>
                <w:rFonts w:ascii="Times New Roman" w:hAnsi="Times New Roman" w:cs="Times New Roman"/>
              </w:rPr>
              <w:t>17.1</w:t>
            </w:r>
          </w:p>
        </w:tc>
      </w:tr>
    </w:tbl>
    <w:p w14:paraId="27DC445A" w14:textId="08300354" w:rsidR="008F5313" w:rsidRPr="00403FC0" w:rsidRDefault="008F5313" w:rsidP="008F5313">
      <w:pPr>
        <w:pStyle w:val="Caption"/>
        <w:jc w:val="cente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br w:type="page"/>
      </w:r>
    </w:p>
    <w:p w14:paraId="504B5FA6" w14:textId="1D45553D" w:rsidR="00FA442E" w:rsidRPr="004F6557" w:rsidRDefault="00D24CDA" w:rsidP="00FA442E">
      <w:pPr>
        <w:pStyle w:val="Caption"/>
        <w:rPr>
          <w:rFonts w:ascii="Times New Roman" w:hAnsi="Times New Roman" w:cs="Times New Roman"/>
        </w:rPr>
      </w:pPr>
      <w:r>
        <w:rPr>
          <w:noProof/>
        </w:rPr>
        <w:lastRenderedPageBreak/>
        <mc:AlternateContent>
          <mc:Choice Requires="wps">
            <w:drawing>
              <wp:anchor distT="0" distB="0" distL="114300" distR="114300" simplePos="0" relativeHeight="251774976" behindDoc="1" locked="0" layoutInCell="1" allowOverlap="1" wp14:anchorId="07E3CCB8" wp14:editId="0F45A8F7">
                <wp:simplePos x="0" y="0"/>
                <wp:positionH relativeFrom="column">
                  <wp:posOffset>223736</wp:posOffset>
                </wp:positionH>
                <wp:positionV relativeFrom="paragraph">
                  <wp:posOffset>3890645</wp:posOffset>
                </wp:positionV>
                <wp:extent cx="5943600" cy="635"/>
                <wp:effectExtent l="0" t="0" r="0" b="12065"/>
                <wp:wrapTight wrapText="bothSides">
                  <wp:wrapPolygon edited="0">
                    <wp:start x="0" y="0"/>
                    <wp:lineTo x="0" y="0"/>
                    <wp:lineTo x="21554" y="0"/>
                    <wp:lineTo x="21554" y="0"/>
                    <wp:lineTo x="0" y="0"/>
                  </wp:wrapPolygon>
                </wp:wrapTight>
                <wp:docPr id="127722287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6DA41D9" w14:textId="72DBA0DB" w:rsidR="00D24CDA" w:rsidRPr="00491D83" w:rsidRDefault="00D24CDA" w:rsidP="00D24CDA">
                            <w:pPr>
                              <w:pStyle w:val="Caption"/>
                              <w:rPr>
                                <w:rFonts w:ascii="Times New Roman" w:hAnsi="Times New Roman" w:cs="Times New Roman"/>
                                <w:b w:val="0"/>
                                <w:bCs w:val="0"/>
                                <w:noProof/>
                              </w:rPr>
                            </w:pPr>
                            <w:bookmarkStart w:id="114" w:name="_Toc164888216"/>
                            <w:bookmarkStart w:id="115" w:name="_Toc164888268"/>
                            <w:bookmarkStart w:id="116" w:name="_Toc164888600"/>
                            <w:bookmarkStart w:id="117" w:name="_Toc164888696"/>
                            <w:bookmarkStart w:id="118" w:name="_Toc164888832"/>
                            <w:bookmarkStart w:id="119" w:name="_Toc165024868"/>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11</w:t>
                            </w:r>
                            <w:r w:rsidRPr="00491D83">
                              <w:rPr>
                                <w:rFonts w:ascii="Times New Roman" w:hAnsi="Times New Roman" w:cs="Times New Roman"/>
                                <w:b w:val="0"/>
                                <w:bCs w:val="0"/>
                              </w:rPr>
                              <w:fldChar w:fldCharType="end"/>
                            </w:r>
                            <w:r w:rsidRPr="00491D83">
                              <w:rPr>
                                <w:rFonts w:ascii="Times New Roman" w:hAnsi="Times New Roman" w:cs="Times New Roman"/>
                                <w:b w:val="0"/>
                                <w:bCs w:val="0"/>
                              </w:rPr>
                              <w:t>: Evenness profile of communities on salamanders seasonally.</w:t>
                            </w:r>
                            <w:bookmarkEnd w:id="114"/>
                            <w:bookmarkEnd w:id="115"/>
                            <w:bookmarkEnd w:id="116"/>
                            <w:bookmarkEnd w:id="117"/>
                            <w:bookmarkEnd w:id="118"/>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E3CCB8" id="_x0000_s1036" type="#_x0000_t202" style="position:absolute;margin-left:17.6pt;margin-top:306.35pt;width:468pt;height:.05pt;z-index:-25154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" stroked="f">
                <v:textbox style="mso-fit-shape-to-text:t" inset="0,0,0,0">
                  <w:txbxContent>
                    <w:p w14:paraId="66DA41D9" w14:textId="72DBA0DB" w:rsidR="00D24CDA" w:rsidRPr="00491D83" w:rsidRDefault="00D24CDA" w:rsidP="00D24CDA">
                      <w:pPr>
                        <w:pStyle w:val="Caption"/>
                        <w:rPr>
                          <w:rFonts w:ascii="Times New Roman" w:hAnsi="Times New Roman" w:cs="Times New Roman"/>
                          <w:b w:val="0"/>
                          <w:bCs w:val="0"/>
                          <w:noProof/>
                        </w:rPr>
                      </w:pPr>
                      <w:bookmarkStart w:id="120" w:name="_Toc164888216"/>
                      <w:bookmarkStart w:id="121" w:name="_Toc164888268"/>
                      <w:bookmarkStart w:id="122" w:name="_Toc164888600"/>
                      <w:bookmarkStart w:id="123" w:name="_Toc164888696"/>
                      <w:bookmarkStart w:id="124" w:name="_Toc164888832"/>
                      <w:bookmarkStart w:id="125" w:name="_Toc165024868"/>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11</w:t>
                      </w:r>
                      <w:r w:rsidRPr="00491D83">
                        <w:rPr>
                          <w:rFonts w:ascii="Times New Roman" w:hAnsi="Times New Roman" w:cs="Times New Roman"/>
                          <w:b w:val="0"/>
                          <w:bCs w:val="0"/>
                        </w:rPr>
                        <w:fldChar w:fldCharType="end"/>
                      </w:r>
                      <w:r w:rsidRPr="00491D83">
                        <w:rPr>
                          <w:rFonts w:ascii="Times New Roman" w:hAnsi="Times New Roman" w:cs="Times New Roman"/>
                          <w:b w:val="0"/>
                          <w:bCs w:val="0"/>
                        </w:rPr>
                        <w:t>: Evenness profile of communities on salamanders seasonally.</w:t>
                      </w:r>
                      <w:bookmarkEnd w:id="120"/>
                      <w:bookmarkEnd w:id="121"/>
                      <w:bookmarkEnd w:id="122"/>
                      <w:bookmarkEnd w:id="123"/>
                      <w:bookmarkEnd w:id="124"/>
                      <w:bookmarkEnd w:id="125"/>
                    </w:p>
                  </w:txbxContent>
                </v:textbox>
                <w10:wrap type="tight"/>
              </v:shape>
            </w:pict>
          </mc:Fallback>
        </mc:AlternateContent>
      </w:r>
      <w:r w:rsidR="00FA442E" w:rsidRPr="00D82873">
        <w:rPr>
          <w:rFonts w:ascii="Times New Roman" w:hAnsi="Times New Roman" w:cs="Times New Roman"/>
          <w:noProof/>
        </w:rPr>
        <w:drawing>
          <wp:anchor distT="0" distB="0" distL="114300" distR="114300" simplePos="0" relativeHeight="251772928" behindDoc="1" locked="0" layoutInCell="1" allowOverlap="1" wp14:anchorId="322A9928" wp14:editId="3EE94F46">
            <wp:simplePos x="0" y="0"/>
            <wp:positionH relativeFrom="column">
              <wp:posOffset>0</wp:posOffset>
            </wp:positionH>
            <wp:positionV relativeFrom="paragraph">
              <wp:posOffset>0</wp:posOffset>
            </wp:positionV>
            <wp:extent cx="5943600" cy="3833495"/>
            <wp:effectExtent l="0" t="0" r="0" b="1905"/>
            <wp:wrapTight wrapText="bothSides">
              <wp:wrapPolygon edited="0">
                <wp:start x="0" y="0"/>
                <wp:lineTo x="0" y="21539"/>
                <wp:lineTo x="21554" y="21539"/>
                <wp:lineTo x="21554" y="0"/>
                <wp:lineTo x="0" y="0"/>
              </wp:wrapPolygon>
            </wp:wrapTight>
            <wp:docPr id="194698712" name="Content Placeholder 4">
              <a:extLst xmlns:a="http://schemas.openxmlformats.org/drawingml/2006/main">
                <a:ext uri="{FF2B5EF4-FFF2-40B4-BE49-F238E27FC236}">
                  <a16:creationId xmlns:a16="http://schemas.microsoft.com/office/drawing/2014/main" id="{54D4C896-8B50-4066-E896-B8286950DB4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54D4C896-8B50-4066-E896-B8286950DB43}"/>
                        </a:ext>
                      </a:extLst>
                    </pic:cNvPr>
                    <pic:cNvPicPr>
                      <a:picLocks noGrp="1"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943600" cy="3833495"/>
                    </a:xfrm>
                    <a:prstGeom prst="rect">
                      <a:avLst/>
                    </a:prstGeom>
                  </pic:spPr>
                </pic:pic>
              </a:graphicData>
            </a:graphic>
            <wp14:sizeRelH relativeFrom="page">
              <wp14:pctWidth>0</wp14:pctWidth>
            </wp14:sizeRelH>
            <wp14:sizeRelV relativeFrom="page">
              <wp14:pctHeight>0</wp14:pctHeight>
            </wp14:sizeRelV>
          </wp:anchor>
        </w:drawing>
      </w:r>
      <w:r w:rsidR="00FA442E" w:rsidRPr="00FA442E">
        <w:rPr>
          <w:rFonts w:ascii="Times New Roman" w:hAnsi="Times New Roman" w:cs="Times New Roman"/>
        </w:rPr>
        <w:t xml:space="preserve"> </w:t>
      </w:r>
    </w:p>
    <w:p w14:paraId="43240EE3" w14:textId="76A15591" w:rsidR="00FA442E" w:rsidRDefault="00FA442E">
      <w:pPr>
        <w:rPr>
          <w:rFonts w:ascii="Times New Roman" w:hAnsi="Times New Roman" w:cs="Times New Roman"/>
          <w:b/>
          <w:bCs/>
          <w:i/>
          <w:iCs/>
          <w:szCs w:val="26"/>
        </w:rPr>
      </w:pPr>
      <w:r>
        <w:rPr>
          <w:rFonts w:ascii="Times New Roman" w:hAnsi="Times New Roman" w:cs="Times New Roman"/>
          <w:iCs/>
        </w:rPr>
        <w:br w:type="page"/>
      </w:r>
    </w:p>
    <w:p w14:paraId="25812345" w14:textId="11A43A5B" w:rsidR="005E32F5" w:rsidRPr="005E32F5" w:rsidRDefault="005E32F5" w:rsidP="004E77C8">
      <w:pPr>
        <w:spacing w:line="360" w:lineRule="auto"/>
        <w:rPr>
          <w:rFonts w:ascii="Times New Roman" w:hAnsi="Times New Roman" w:cs="Times New Roman"/>
        </w:rPr>
      </w:pPr>
      <w:r w:rsidRPr="005E32F5">
        <w:rPr>
          <w:rFonts w:ascii="Times New Roman" w:hAnsi="Times New Roman" w:cs="Times New Roman"/>
        </w:rPr>
        <w:lastRenderedPageBreak/>
        <w:t xml:space="preserve">study sampled nine sites seasonally, we first addressed variance partitioning of the horn dissimilarity and tested variables with a </w:t>
      </w:r>
      <w:proofErr w:type="spellStart"/>
      <w:r w:rsidRPr="005E32F5">
        <w:rPr>
          <w:rFonts w:ascii="Times New Roman" w:hAnsi="Times New Roman" w:cs="Times New Roman"/>
        </w:rPr>
        <w:t>dbRDA</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anova.cca</w:t>
      </w:r>
      <w:proofErr w:type="spellEnd"/>
      <w:r w:rsidRPr="005E32F5">
        <w:rPr>
          <w:rFonts w:ascii="Times New Roman" w:hAnsi="Times New Roman" w:cs="Times New Roman"/>
        </w:rPr>
        <w:t xml:space="preserve"> and then compared seasonal turnover with a multivariate Welch t-test with a Bonferroni correction.</w:t>
      </w:r>
    </w:p>
    <w:p w14:paraId="1E96AD74" w14:textId="6621A4F1" w:rsidR="008F5313" w:rsidRDefault="005E32F5" w:rsidP="00FA442E">
      <w:pPr>
        <w:spacing w:line="360" w:lineRule="auto"/>
        <w:rPr>
          <w:rFonts w:ascii="Times New Roman" w:hAnsi="Times New Roman" w:cs="Times New Roman"/>
        </w:rPr>
      </w:pPr>
      <w:r w:rsidRPr="005E32F5">
        <w:rPr>
          <w:rFonts w:ascii="Times New Roman" w:hAnsi="Times New Roman" w:cs="Times New Roman"/>
        </w:rPr>
        <w:tab/>
        <w:t xml:space="preserve">Unconstrained ordination of the horn dissimilarity </w:t>
      </w:r>
      <w:r w:rsidR="000F37D7">
        <w:rPr>
          <w:rFonts w:ascii="Times New Roman" w:hAnsi="Times New Roman" w:cs="Times New Roman"/>
        </w:rPr>
        <w:t xml:space="preserve">of </w:t>
      </w:r>
      <w:r w:rsidRPr="005E32F5">
        <w:rPr>
          <w:rFonts w:ascii="Times New Roman" w:hAnsi="Times New Roman" w:cs="Times New Roman"/>
        </w:rPr>
        <w:t>salamander communities revealed clustering associated with habitat, with some evidence of Site and Season (</w:t>
      </w:r>
      <w:r w:rsidRPr="005E32F5">
        <w:rPr>
          <w:rFonts w:ascii="Times New Roman" w:hAnsi="Times New Roman" w:cs="Times New Roman"/>
          <w:b/>
          <w:bCs/>
        </w:rPr>
        <w:t>Fig. 12</w:t>
      </w:r>
      <w:r w:rsidR="000F37D7">
        <w:rPr>
          <w:rFonts w:ascii="Times New Roman" w:hAnsi="Times New Roman" w:cs="Times New Roman"/>
          <w:b/>
          <w:bCs/>
        </w:rPr>
        <w:t>, Fig. A6</w:t>
      </w:r>
      <w:r w:rsidRPr="005E32F5">
        <w:rPr>
          <w:rFonts w:ascii="Times New Roman" w:hAnsi="Times New Roman" w:cs="Times New Roman"/>
        </w:rPr>
        <w:t>). Variance partitioning (adjusted r</w:t>
      </w:r>
      <w:r w:rsidRPr="005E32F5">
        <w:rPr>
          <w:rFonts w:ascii="Times New Roman" w:hAnsi="Times New Roman" w:cs="Times New Roman"/>
          <w:vertAlign w:val="superscript"/>
        </w:rPr>
        <w:t>2</w:t>
      </w:r>
      <w:r w:rsidRPr="005E32F5">
        <w:rPr>
          <w:rFonts w:ascii="Times New Roman" w:hAnsi="Times New Roman" w:cs="Times New Roman"/>
        </w:rPr>
        <w:t xml:space="preserve">) found variables explained 27% of inertia, with Site explaining 6%, Habitat explaining 5% and Season explaining 4%. The bulk of inertia explained came through the interaction term of Habitat and Season (12%), as expected given our </w:t>
      </w:r>
      <w:proofErr w:type="gramStart"/>
      <w:r w:rsidRPr="005E32F5">
        <w:rPr>
          <w:rFonts w:ascii="Times New Roman" w:hAnsi="Times New Roman" w:cs="Times New Roman"/>
        </w:rPr>
        <w:t>sampling</w:t>
      </w:r>
      <w:proofErr w:type="gramEnd"/>
      <w:r w:rsidRPr="005E32F5">
        <w:rPr>
          <w:rFonts w:ascii="Times New Roman" w:hAnsi="Times New Roman" w:cs="Times New Roman"/>
        </w:rPr>
        <w:t xml:space="preserve"> </w:t>
      </w:r>
    </w:p>
    <w:p w14:paraId="40C2BCD9" w14:textId="2CBFECF7" w:rsidR="008F5313" w:rsidRPr="00FA442E" w:rsidRDefault="008F5313" w:rsidP="00FA442E">
      <w:pPr>
        <w:spacing w:line="360" w:lineRule="auto"/>
        <w:rPr>
          <w:rFonts w:ascii="Times" w:hAnsi="Times"/>
        </w:rPr>
      </w:pPr>
      <w:r w:rsidRPr="005E32F5">
        <w:rPr>
          <w:rFonts w:ascii="Times New Roman" w:hAnsi="Times New Roman" w:cs="Times New Roman"/>
        </w:rPr>
        <w:t>scheme and research questions</w:t>
      </w:r>
      <w:r w:rsidR="00423887">
        <w:rPr>
          <w:rFonts w:ascii="Times New Roman" w:hAnsi="Times New Roman" w:cs="Times New Roman"/>
        </w:rPr>
        <w:t xml:space="preserve"> (</w:t>
      </w:r>
      <w:r w:rsidR="00423887" w:rsidRPr="00095B23">
        <w:rPr>
          <w:rFonts w:ascii="Times New Roman" w:hAnsi="Times New Roman" w:cs="Times New Roman"/>
          <w:b/>
          <w:bCs/>
        </w:rPr>
        <w:t xml:space="preserve">Fig. </w:t>
      </w:r>
      <w:r w:rsidR="00095B23" w:rsidRPr="00095B23">
        <w:rPr>
          <w:rFonts w:ascii="Times New Roman" w:hAnsi="Times New Roman" w:cs="Times New Roman"/>
          <w:b/>
          <w:bCs/>
        </w:rPr>
        <w:t>A7</w:t>
      </w:r>
      <w:r w:rsidR="00423887">
        <w:rPr>
          <w:rFonts w:ascii="Times New Roman" w:hAnsi="Times New Roman" w:cs="Times New Roman"/>
        </w:rPr>
        <w:t>)</w:t>
      </w:r>
      <w:r w:rsidRPr="005E32F5">
        <w:rPr>
          <w:rFonts w:ascii="Times New Roman" w:hAnsi="Times New Roman" w:cs="Times New Roman"/>
        </w:rPr>
        <w:t xml:space="preserve">. Phylogenetic turnover was considerably less than taxonomic turnover for salamanders. Our variables (Site, Habitat, and Season) explained 44% of inertia, with Site explaining 9%, Habitat 7%, and Season 8%. </w:t>
      </w:r>
      <w:proofErr w:type="gramStart"/>
      <w:r w:rsidRPr="005E32F5">
        <w:rPr>
          <w:rFonts w:ascii="Times New Roman" w:hAnsi="Times New Roman" w:cs="Times New Roman"/>
        </w:rPr>
        <w:t>Similar to</w:t>
      </w:r>
      <w:proofErr w:type="gramEnd"/>
      <w:r w:rsidRPr="005E32F5">
        <w:rPr>
          <w:rFonts w:ascii="Times New Roman" w:hAnsi="Times New Roman" w:cs="Times New Roman"/>
        </w:rPr>
        <w:t xml:space="preserve"> taxonomic turnover, the </w:t>
      </w:r>
    </w:p>
    <w:p w14:paraId="059021CA" w14:textId="77777777" w:rsidR="00FA442E" w:rsidRDefault="008F5313" w:rsidP="00FA442E">
      <w:pPr>
        <w:spacing w:line="360" w:lineRule="auto"/>
        <w:rPr>
          <w:rFonts w:ascii="Times New Roman" w:hAnsi="Times New Roman" w:cs="Times New Roman"/>
        </w:rPr>
      </w:pPr>
      <w:r w:rsidRPr="005E32F5">
        <w:rPr>
          <w:rFonts w:ascii="Times New Roman" w:hAnsi="Times New Roman" w:cs="Times New Roman"/>
        </w:rPr>
        <w:t xml:space="preserve"> interaction between Habitat and Season explained 20% of inertia</w:t>
      </w:r>
      <w:r w:rsidR="00423887">
        <w:rPr>
          <w:rFonts w:ascii="Times New Roman" w:hAnsi="Times New Roman" w:cs="Times New Roman"/>
        </w:rPr>
        <w:t xml:space="preserve"> (</w:t>
      </w:r>
      <w:r w:rsidR="00423887" w:rsidRPr="00095B23">
        <w:rPr>
          <w:rFonts w:ascii="Times New Roman" w:hAnsi="Times New Roman" w:cs="Times New Roman"/>
          <w:b/>
          <w:bCs/>
        </w:rPr>
        <w:t xml:space="preserve">Fig. </w:t>
      </w:r>
      <w:r w:rsidR="00095B23">
        <w:rPr>
          <w:rFonts w:ascii="Times New Roman" w:hAnsi="Times New Roman" w:cs="Times New Roman"/>
          <w:b/>
          <w:bCs/>
        </w:rPr>
        <w:t>A8</w:t>
      </w:r>
      <w:r w:rsidR="00423887">
        <w:rPr>
          <w:rFonts w:ascii="Times New Roman" w:hAnsi="Times New Roman" w:cs="Times New Roman"/>
        </w:rPr>
        <w:t>)</w:t>
      </w:r>
      <w:r w:rsidRPr="005E32F5">
        <w:rPr>
          <w:rFonts w:ascii="Times New Roman" w:hAnsi="Times New Roman" w:cs="Times New Roman"/>
        </w:rPr>
        <w:t xml:space="preserve">. For both taxonomic and </w:t>
      </w:r>
      <w:r w:rsidR="000F0ADC" w:rsidRPr="005E32F5">
        <w:rPr>
          <w:rFonts w:ascii="Times New Roman" w:hAnsi="Times New Roman" w:cs="Times New Roman"/>
        </w:rPr>
        <w:t xml:space="preserve">phylogenetic </w:t>
      </w:r>
      <w:r w:rsidR="000F0ADC" w:rsidRPr="005E32F5">
        <w:rPr>
          <w:rFonts w:ascii="Times New Roman" w:hAnsi="Times New Roman" w:cs="Times New Roman"/>
        </w:rPr>
        <w:sym w:font="Symbol" w:char="F062"/>
      </w:r>
      <w:r w:rsidR="000F0ADC" w:rsidRPr="005E32F5">
        <w:rPr>
          <w:rFonts w:ascii="Times New Roman" w:hAnsi="Times New Roman" w:cs="Times New Roman"/>
        </w:rPr>
        <w:t xml:space="preserve"> diversity, Habitat, Season, and Site explained a significant amount of inertia, even when </w:t>
      </w:r>
      <w:proofErr w:type="spellStart"/>
      <w:r w:rsidR="000F0ADC" w:rsidRPr="005E32F5">
        <w:rPr>
          <w:rFonts w:ascii="Times New Roman" w:hAnsi="Times New Roman" w:cs="Times New Roman"/>
        </w:rPr>
        <w:t>partialling</w:t>
      </w:r>
      <w:proofErr w:type="spellEnd"/>
      <w:r w:rsidR="000F0ADC" w:rsidRPr="005E32F5">
        <w:rPr>
          <w:rFonts w:ascii="Times New Roman" w:hAnsi="Times New Roman" w:cs="Times New Roman"/>
        </w:rPr>
        <w:t xml:space="preserve"> out significant interaction terms in our </w:t>
      </w:r>
      <w:proofErr w:type="spellStart"/>
      <w:r w:rsidR="000F0ADC" w:rsidRPr="005E32F5">
        <w:rPr>
          <w:rFonts w:ascii="Times New Roman" w:hAnsi="Times New Roman" w:cs="Times New Roman"/>
        </w:rPr>
        <w:t>dbRDA</w:t>
      </w:r>
      <w:proofErr w:type="spellEnd"/>
      <w:r w:rsidR="000F0ADC" w:rsidRPr="005E32F5">
        <w:rPr>
          <w:rFonts w:ascii="Times New Roman" w:hAnsi="Times New Roman" w:cs="Times New Roman"/>
        </w:rPr>
        <w:t xml:space="preserve"> and </w:t>
      </w:r>
      <w:proofErr w:type="spellStart"/>
      <w:proofErr w:type="gramStart"/>
      <w:r w:rsidR="000F0ADC" w:rsidRPr="005E32F5">
        <w:rPr>
          <w:rFonts w:ascii="Times New Roman" w:hAnsi="Times New Roman" w:cs="Times New Roman"/>
        </w:rPr>
        <w:t>anova.cca</w:t>
      </w:r>
      <w:proofErr w:type="spellEnd"/>
      <w:r w:rsidR="000F0ADC" w:rsidRPr="005E32F5">
        <w:rPr>
          <w:rFonts w:ascii="Times New Roman" w:hAnsi="Times New Roman" w:cs="Times New Roman"/>
        </w:rPr>
        <w:t xml:space="preserve"> </w:t>
      </w:r>
      <w:r w:rsidR="000F0ADC">
        <w:rPr>
          <w:rFonts w:ascii="Times New Roman" w:hAnsi="Times New Roman" w:cs="Times New Roman"/>
        </w:rPr>
        <w:t xml:space="preserve"> </w:t>
      </w:r>
      <w:r w:rsidR="005E32F5" w:rsidRPr="005E32F5">
        <w:rPr>
          <w:rFonts w:ascii="Times New Roman" w:hAnsi="Times New Roman" w:cs="Times New Roman"/>
        </w:rPr>
        <w:t>(</w:t>
      </w:r>
      <w:proofErr w:type="gramEnd"/>
      <w:r w:rsidR="005E32F5" w:rsidRPr="005E32F5">
        <w:rPr>
          <w:rFonts w:ascii="Times New Roman" w:hAnsi="Times New Roman" w:cs="Times New Roman"/>
        </w:rPr>
        <w:t xml:space="preserve">all </w:t>
      </w:r>
      <w:r w:rsidR="005E32F5" w:rsidRPr="005E32F5">
        <w:rPr>
          <w:rFonts w:ascii="Times New Roman" w:hAnsi="Times New Roman" w:cs="Times New Roman"/>
          <w:i/>
          <w:iCs/>
        </w:rPr>
        <w:t>p &lt;0.05</w:t>
      </w:r>
      <w:r w:rsidR="005E32F5" w:rsidRPr="005E32F5">
        <w:rPr>
          <w:rFonts w:ascii="Times New Roman" w:hAnsi="Times New Roman" w:cs="Times New Roman"/>
        </w:rPr>
        <w:t xml:space="preserve">). The average taxonomic turnover between salamanders sampled in the same </w:t>
      </w:r>
      <w:proofErr w:type="gramStart"/>
      <w:r w:rsidR="005E32F5" w:rsidRPr="005E32F5">
        <w:rPr>
          <w:rFonts w:ascii="Times New Roman" w:hAnsi="Times New Roman" w:cs="Times New Roman"/>
        </w:rPr>
        <w:t>season  (</w:t>
      </w:r>
      <w:proofErr w:type="gramEnd"/>
      <w:r w:rsidR="005E32F5" w:rsidRPr="005E32F5">
        <w:rPr>
          <w:rFonts w:ascii="Times New Roman" w:hAnsi="Times New Roman" w:cs="Times New Roman"/>
        </w:rPr>
        <w:t xml:space="preserve">across sites) was 0.645, while the average turnover between salamanders </w:t>
      </w:r>
      <w:r w:rsidR="001C7E0F" w:rsidRPr="005E32F5">
        <w:rPr>
          <w:rFonts w:ascii="Times New Roman" w:hAnsi="Times New Roman" w:cs="Times New Roman"/>
        </w:rPr>
        <w:t xml:space="preserve">sampled from </w:t>
      </w:r>
      <w:r w:rsidR="002F0DCF" w:rsidRPr="005E32F5">
        <w:rPr>
          <w:rFonts w:ascii="Times New Roman" w:hAnsi="Times New Roman" w:cs="Times New Roman"/>
        </w:rPr>
        <w:t>the same site (across seasons) was 0.684. While subtle, these results indicate that seasonality within a site contributes more variation to host-associated communities at a small geographical scale than characteristics between sites, consistent with unconstrained ordination and variance partitioning.</w:t>
      </w:r>
    </w:p>
    <w:p w14:paraId="7AA1CC37" w14:textId="4F079909" w:rsidR="00FA442E" w:rsidRDefault="00FA442E" w:rsidP="00FA442E">
      <w:pPr>
        <w:spacing w:line="360" w:lineRule="auto"/>
        <w:ind w:firstLine="720"/>
        <w:rPr>
          <w:rFonts w:ascii="Times New Roman" w:hAnsi="Times New Roman" w:cs="Times New Roman"/>
        </w:rPr>
      </w:pPr>
      <w:r w:rsidRPr="005E32F5">
        <w:rPr>
          <w:rFonts w:ascii="Times New Roman" w:hAnsi="Times New Roman" w:cs="Times New Roman"/>
        </w:rPr>
        <w:t xml:space="preserve">To provide higher resolution hypothesis testing of turnover patterns seasonally, we used a Welch t-test for distances and corrected for multiple comparisons using a sequential Bonferroni. While all explanatory variables were statistically significant in </w:t>
      </w:r>
      <w:proofErr w:type="spellStart"/>
      <w:r w:rsidRPr="005E32F5">
        <w:rPr>
          <w:rFonts w:ascii="Times New Roman" w:hAnsi="Times New Roman" w:cs="Times New Roman"/>
        </w:rPr>
        <w:t>dbRDA</w:t>
      </w:r>
      <w:proofErr w:type="spellEnd"/>
      <w:r w:rsidRPr="005E32F5">
        <w:rPr>
          <w:rFonts w:ascii="Times New Roman" w:hAnsi="Times New Roman" w:cs="Times New Roman"/>
        </w:rPr>
        <w:t xml:space="preserve">, the evenness and beta analyses suggested communities might stabilize after initial disturbance, meaning turnover within a habitat (but different seasons) would be lower than turnover between habitats (and between seasons). Multivariate Welch t-test found seasonal turnover of consecutive seasons was </w:t>
      </w:r>
      <w:r w:rsidR="004E77C8" w:rsidRPr="005E32F5">
        <w:rPr>
          <w:rFonts w:ascii="Times New Roman" w:hAnsi="Times New Roman" w:cs="Times New Roman"/>
        </w:rPr>
        <w:t xml:space="preserve">significantly higher when hosts either entered water (Fall to Winter,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4E77C8" w:rsidRPr="005E32F5">
        <w:rPr>
          <w:rFonts w:ascii="Times New Roman" w:hAnsi="Times New Roman" w:cs="Times New Roman"/>
        </w:rPr>
        <w:t xml:space="preserve">: 2.80, </w:t>
      </w:r>
      <w:r w:rsidR="004E77C8" w:rsidRPr="005E32F5">
        <w:rPr>
          <w:rFonts w:ascii="Times New Roman" w:hAnsi="Times New Roman" w:cs="Times New Roman"/>
          <w:i/>
          <w:iCs/>
        </w:rPr>
        <w:t>p=0.001</w:t>
      </w:r>
      <w:r w:rsidR="004E77C8" w:rsidRPr="005E32F5">
        <w:rPr>
          <w:rFonts w:ascii="Times New Roman" w:hAnsi="Times New Roman" w:cs="Times New Roman"/>
        </w:rPr>
        <w:t xml:space="preserve">) or entered land (Spring to Summer: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4E77C8" w:rsidRPr="005E32F5">
        <w:rPr>
          <w:rFonts w:ascii="Times New Roman" w:eastAsiaTheme="minorEastAsia" w:hAnsi="Times New Roman" w:cs="Times New Roman"/>
        </w:rPr>
        <w:t>=</w:t>
      </w:r>
      <w:r w:rsidR="004E77C8" w:rsidRPr="005E32F5">
        <w:rPr>
          <w:rFonts w:ascii="Times New Roman" w:hAnsi="Times New Roman" w:cs="Times New Roman"/>
        </w:rPr>
        <w:t xml:space="preserve">3.88, </w:t>
      </w:r>
      <w:r w:rsidR="004E77C8" w:rsidRPr="005E32F5">
        <w:rPr>
          <w:rFonts w:ascii="Times New Roman" w:hAnsi="Times New Roman" w:cs="Times New Roman"/>
          <w:i/>
          <w:iCs/>
        </w:rPr>
        <w:t>p=0.001</w:t>
      </w:r>
      <w:r w:rsidR="004E77C8" w:rsidRPr="005E32F5">
        <w:rPr>
          <w:rFonts w:ascii="Times New Roman" w:hAnsi="Times New Roman" w:cs="Times New Roman"/>
        </w:rPr>
        <w:t xml:space="preserve">) than when they remained on land (Summer to Fall: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4E77C8" w:rsidRPr="005E32F5">
        <w:rPr>
          <w:rFonts w:ascii="Times New Roman" w:eastAsiaTheme="minorEastAsia" w:hAnsi="Times New Roman" w:cs="Times New Roman"/>
        </w:rPr>
        <w:t>=</w:t>
      </w:r>
      <w:r w:rsidR="004E77C8" w:rsidRPr="005E32F5">
        <w:rPr>
          <w:rFonts w:ascii="Times New Roman" w:hAnsi="Times New Roman" w:cs="Times New Roman"/>
        </w:rPr>
        <w:t xml:space="preserve">1.24, </w:t>
      </w:r>
      <w:r w:rsidR="004E77C8" w:rsidRPr="005E32F5">
        <w:rPr>
          <w:rFonts w:ascii="Times New Roman" w:hAnsi="Times New Roman" w:cs="Times New Roman"/>
          <w:i/>
          <w:iCs/>
        </w:rPr>
        <w:t>p=0.132</w:t>
      </w:r>
      <w:r w:rsidR="004E77C8" w:rsidRPr="005E32F5">
        <w:rPr>
          <w:rFonts w:ascii="Times New Roman" w:hAnsi="Times New Roman" w:cs="Times New Roman"/>
        </w:rPr>
        <w:t xml:space="preserve">) or in water (Winter to Spring: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4E77C8" w:rsidRPr="005E32F5">
        <w:rPr>
          <w:rFonts w:ascii="Times New Roman" w:eastAsiaTheme="minorEastAsia" w:hAnsi="Times New Roman" w:cs="Times New Roman"/>
        </w:rPr>
        <w:t>=</w:t>
      </w:r>
      <w:r w:rsidR="004E77C8" w:rsidRPr="005E32F5">
        <w:rPr>
          <w:rFonts w:ascii="Times New Roman" w:hAnsi="Times New Roman" w:cs="Times New Roman"/>
        </w:rPr>
        <w:t xml:space="preserve">1.35, </w:t>
      </w:r>
      <w:r w:rsidR="004E77C8" w:rsidRPr="005E32F5">
        <w:rPr>
          <w:rFonts w:ascii="Times New Roman" w:hAnsi="Times New Roman" w:cs="Times New Roman"/>
          <w:i/>
          <w:iCs/>
        </w:rPr>
        <w:t>p=0.18</w:t>
      </w:r>
      <w:r w:rsidR="004E77C8" w:rsidRPr="005E32F5">
        <w:rPr>
          <w:rFonts w:ascii="Times New Roman" w:hAnsi="Times New Roman" w:cs="Times New Roman"/>
        </w:rPr>
        <w:t>). These results</w:t>
      </w:r>
      <w:r w:rsidR="004E77C8">
        <w:rPr>
          <w:rFonts w:ascii="Times New Roman" w:hAnsi="Times New Roman" w:cs="Times New Roman"/>
        </w:rPr>
        <w:t xml:space="preserve"> </w:t>
      </w:r>
      <w:r w:rsidR="004E77C8" w:rsidRPr="005E32F5">
        <w:rPr>
          <w:rFonts w:ascii="Times New Roman" w:hAnsi="Times New Roman" w:cs="Times New Roman"/>
        </w:rPr>
        <w:t>confirmed patterns of turnover within a site across seasons and habitats (</w:t>
      </w:r>
      <w:r w:rsidR="004E77C8" w:rsidRPr="005E32F5">
        <w:rPr>
          <w:rFonts w:ascii="Times New Roman" w:hAnsi="Times New Roman" w:cs="Times New Roman"/>
          <w:b/>
          <w:bCs/>
        </w:rPr>
        <w:t>Fig. 13</w:t>
      </w:r>
      <w:r w:rsidR="004E77C8" w:rsidRPr="005E32F5">
        <w:rPr>
          <w:rFonts w:ascii="Times New Roman" w:hAnsi="Times New Roman" w:cs="Times New Roman"/>
        </w:rPr>
        <w:t>) and</w:t>
      </w:r>
      <w:r w:rsidR="004E77C8">
        <w:rPr>
          <w:rFonts w:ascii="Times New Roman" w:hAnsi="Times New Roman" w:cs="Times New Roman"/>
        </w:rPr>
        <w:t xml:space="preserve"> </w:t>
      </w:r>
      <w:proofErr w:type="gramStart"/>
      <w:r w:rsidR="004E77C8">
        <w:rPr>
          <w:rFonts w:ascii="Times New Roman" w:hAnsi="Times New Roman" w:cs="Times New Roman"/>
        </w:rPr>
        <w:t>confirmed</w:t>
      </w:r>
      <w:proofErr w:type="gramEnd"/>
    </w:p>
    <w:p w14:paraId="0959D230" w14:textId="50BDA1B5" w:rsidR="00FA442E" w:rsidRDefault="00FA442E">
      <w:pPr>
        <w:rPr>
          <w:rFonts w:ascii="Times New Roman" w:hAnsi="Times New Roman" w:cs="Times New Roman"/>
        </w:rPr>
      </w:pPr>
      <w:r>
        <w:rPr>
          <w:noProof/>
        </w:rPr>
        <w:lastRenderedPageBreak/>
        <mc:AlternateContent>
          <mc:Choice Requires="wps">
            <w:drawing>
              <wp:anchor distT="0" distB="0" distL="114300" distR="114300" simplePos="0" relativeHeight="251751424" behindDoc="1" locked="0" layoutInCell="1" allowOverlap="1" wp14:anchorId="5A87737E" wp14:editId="376D7EDA">
                <wp:simplePos x="0" y="0"/>
                <wp:positionH relativeFrom="column">
                  <wp:posOffset>213374</wp:posOffset>
                </wp:positionH>
                <wp:positionV relativeFrom="paragraph">
                  <wp:posOffset>4577512</wp:posOffset>
                </wp:positionV>
                <wp:extent cx="5291455" cy="635"/>
                <wp:effectExtent l="0" t="0" r="4445" b="12065"/>
                <wp:wrapTight wrapText="bothSides">
                  <wp:wrapPolygon edited="0">
                    <wp:start x="0" y="0"/>
                    <wp:lineTo x="0" y="0"/>
                    <wp:lineTo x="21566" y="0"/>
                    <wp:lineTo x="21566" y="0"/>
                    <wp:lineTo x="0" y="0"/>
                  </wp:wrapPolygon>
                </wp:wrapTight>
                <wp:docPr id="1835397666" name="Text Box 1"/>
                <wp:cNvGraphicFramePr/>
                <a:graphic xmlns:a="http://schemas.openxmlformats.org/drawingml/2006/main">
                  <a:graphicData uri="http://schemas.microsoft.com/office/word/2010/wordprocessingShape">
                    <wps:wsp>
                      <wps:cNvSpPr txBox="1"/>
                      <wps:spPr>
                        <a:xfrm>
                          <a:off x="0" y="0"/>
                          <a:ext cx="5291455" cy="635"/>
                        </a:xfrm>
                        <a:prstGeom prst="rect">
                          <a:avLst/>
                        </a:prstGeom>
                        <a:solidFill>
                          <a:prstClr val="white"/>
                        </a:solidFill>
                        <a:ln>
                          <a:noFill/>
                        </a:ln>
                      </wps:spPr>
                      <wps:txbx>
                        <w:txbxContent>
                          <w:p w14:paraId="79869E42" w14:textId="1B35A1C2" w:rsidR="0039197A" w:rsidRPr="00491D83" w:rsidRDefault="0039197A" w:rsidP="0039197A">
                            <w:pPr>
                              <w:pStyle w:val="Caption"/>
                              <w:rPr>
                                <w:rFonts w:ascii="Times New Roman" w:hAnsi="Times New Roman" w:cs="Times New Roman"/>
                                <w:b w:val="0"/>
                                <w:bCs w:val="0"/>
                              </w:rPr>
                            </w:pPr>
                            <w:bookmarkStart w:id="126" w:name="_Toc164888217"/>
                            <w:bookmarkStart w:id="127" w:name="_Toc164888269"/>
                            <w:bookmarkStart w:id="128" w:name="_Toc164888601"/>
                            <w:bookmarkStart w:id="129" w:name="_Toc164888697"/>
                            <w:bookmarkStart w:id="130" w:name="_Toc164888833"/>
                            <w:bookmarkStart w:id="131" w:name="_Toc165024869"/>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12</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xml:space="preserve">: </w:t>
                            </w:r>
                            <w:r w:rsidR="004F6557" w:rsidRPr="00491D83">
                              <w:rPr>
                                <w:rFonts w:ascii="Times New Roman" w:hAnsi="Times New Roman" w:cs="Times New Roman"/>
                                <w:b w:val="0"/>
                                <w:bCs w:val="0"/>
                              </w:rPr>
                              <w:t xml:space="preserve">Unconstrained ordination of Horn and </w:t>
                            </w:r>
                            <w:proofErr w:type="spellStart"/>
                            <w:r w:rsidR="004F6557" w:rsidRPr="00491D83">
                              <w:rPr>
                                <w:rFonts w:ascii="Times New Roman" w:hAnsi="Times New Roman" w:cs="Times New Roman"/>
                                <w:b w:val="0"/>
                                <w:bCs w:val="0"/>
                              </w:rPr>
                              <w:t>PhyloHorn</w:t>
                            </w:r>
                            <w:proofErr w:type="spellEnd"/>
                            <w:r w:rsidR="004F6557" w:rsidRPr="00491D83">
                              <w:rPr>
                                <w:rFonts w:ascii="Times New Roman" w:hAnsi="Times New Roman" w:cs="Times New Roman"/>
                                <w:b w:val="0"/>
                                <w:bCs w:val="0"/>
                              </w:rPr>
                              <w:t xml:space="preserve"> dissimilarities of salamander-associated communities.</w:t>
                            </w:r>
                            <w:bookmarkEnd w:id="126"/>
                            <w:bookmarkEnd w:id="127"/>
                            <w:bookmarkEnd w:id="128"/>
                            <w:bookmarkEnd w:id="129"/>
                            <w:bookmarkEnd w:id="130"/>
                            <w:bookmarkEnd w:id="1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87737E" id="_x0000_s1037" type="#_x0000_t202" style="position:absolute;margin-left:16.8pt;margin-top:360.45pt;width:416.65pt;height:.05pt;z-index:-25156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" stroked="f">
                <v:textbox style="mso-fit-shape-to-text:t" inset="0,0,0,0">
                  <w:txbxContent>
                    <w:p w14:paraId="79869E42" w14:textId="1B35A1C2" w:rsidR="0039197A" w:rsidRPr="00491D83" w:rsidRDefault="0039197A" w:rsidP="0039197A">
                      <w:pPr>
                        <w:pStyle w:val="Caption"/>
                        <w:rPr>
                          <w:rFonts w:ascii="Times New Roman" w:hAnsi="Times New Roman" w:cs="Times New Roman"/>
                          <w:b w:val="0"/>
                          <w:bCs w:val="0"/>
                        </w:rPr>
                      </w:pPr>
                      <w:bookmarkStart w:id="132" w:name="_Toc164888217"/>
                      <w:bookmarkStart w:id="133" w:name="_Toc164888269"/>
                      <w:bookmarkStart w:id="134" w:name="_Toc164888601"/>
                      <w:bookmarkStart w:id="135" w:name="_Toc164888697"/>
                      <w:bookmarkStart w:id="136" w:name="_Toc164888833"/>
                      <w:bookmarkStart w:id="137" w:name="_Toc165024869"/>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12</w:t>
                      </w:r>
                      <w:r w:rsidRPr="00491D83">
                        <w:rPr>
                          <w:rFonts w:ascii="Times New Roman" w:hAnsi="Times New Roman" w:cs="Times New Roman"/>
                          <w:b w:val="0"/>
                          <w:bCs w:val="0"/>
                          <w:noProof/>
                        </w:rPr>
                        <w:fldChar w:fldCharType="end"/>
                      </w:r>
                      <w:r w:rsidRPr="00491D83">
                        <w:rPr>
                          <w:rFonts w:ascii="Times New Roman" w:hAnsi="Times New Roman" w:cs="Times New Roman"/>
                          <w:b w:val="0"/>
                          <w:bCs w:val="0"/>
                        </w:rPr>
                        <w:t xml:space="preserve">: </w:t>
                      </w:r>
                      <w:r w:rsidR="004F6557" w:rsidRPr="00491D83">
                        <w:rPr>
                          <w:rFonts w:ascii="Times New Roman" w:hAnsi="Times New Roman" w:cs="Times New Roman"/>
                          <w:b w:val="0"/>
                          <w:bCs w:val="0"/>
                        </w:rPr>
                        <w:t xml:space="preserve">Unconstrained ordination of Horn and </w:t>
                      </w:r>
                      <w:proofErr w:type="spellStart"/>
                      <w:r w:rsidR="004F6557" w:rsidRPr="00491D83">
                        <w:rPr>
                          <w:rFonts w:ascii="Times New Roman" w:hAnsi="Times New Roman" w:cs="Times New Roman"/>
                          <w:b w:val="0"/>
                          <w:bCs w:val="0"/>
                        </w:rPr>
                        <w:t>PhyloHorn</w:t>
                      </w:r>
                      <w:proofErr w:type="spellEnd"/>
                      <w:r w:rsidR="004F6557" w:rsidRPr="00491D83">
                        <w:rPr>
                          <w:rFonts w:ascii="Times New Roman" w:hAnsi="Times New Roman" w:cs="Times New Roman"/>
                          <w:b w:val="0"/>
                          <w:bCs w:val="0"/>
                        </w:rPr>
                        <w:t xml:space="preserve"> dissimilarities of salamander-associated communities.</w:t>
                      </w:r>
                      <w:bookmarkEnd w:id="132"/>
                      <w:bookmarkEnd w:id="133"/>
                      <w:bookmarkEnd w:id="134"/>
                      <w:bookmarkEnd w:id="135"/>
                      <w:bookmarkEnd w:id="136"/>
                      <w:bookmarkEnd w:id="137"/>
                    </w:p>
                  </w:txbxContent>
                </v:textbox>
                <w10:wrap type="tight"/>
              </v:shape>
            </w:pict>
          </mc:Fallback>
        </mc:AlternateContent>
      </w:r>
      <w:r w:rsidRPr="00D82873">
        <w:rPr>
          <w:rFonts w:ascii="Times New Roman" w:hAnsi="Times New Roman" w:cs="Times New Roman"/>
          <w:noProof/>
        </w:rPr>
        <w:drawing>
          <wp:anchor distT="0" distB="0" distL="114300" distR="114300" simplePos="0" relativeHeight="251750400" behindDoc="1" locked="0" layoutInCell="1" allowOverlap="1" wp14:anchorId="04501E05" wp14:editId="5CE10ABA">
            <wp:simplePos x="0" y="0"/>
            <wp:positionH relativeFrom="column">
              <wp:posOffset>215900</wp:posOffset>
            </wp:positionH>
            <wp:positionV relativeFrom="paragraph">
              <wp:posOffset>476431</wp:posOffset>
            </wp:positionV>
            <wp:extent cx="5291455" cy="3968750"/>
            <wp:effectExtent l="0" t="0" r="0" b="0"/>
            <wp:wrapTight wrapText="bothSides">
              <wp:wrapPolygon edited="0">
                <wp:start x="5392" y="1382"/>
                <wp:lineTo x="778" y="2143"/>
                <wp:lineTo x="674" y="2557"/>
                <wp:lineTo x="1141" y="2627"/>
                <wp:lineTo x="1141" y="5944"/>
                <wp:lineTo x="726" y="7050"/>
                <wp:lineTo x="1141" y="8156"/>
                <wp:lineTo x="1141" y="9262"/>
                <wp:lineTo x="104" y="9400"/>
                <wp:lineTo x="104" y="10368"/>
                <wp:lineTo x="1141" y="10368"/>
                <wp:lineTo x="1141" y="11474"/>
                <wp:lineTo x="726" y="11681"/>
                <wp:lineTo x="726" y="11820"/>
                <wp:lineTo x="1141" y="12580"/>
                <wp:lineTo x="1141" y="15898"/>
                <wp:lineTo x="674" y="16589"/>
                <wp:lineTo x="674" y="16658"/>
                <wp:lineTo x="1141" y="17004"/>
                <wp:lineTo x="1141" y="17418"/>
                <wp:lineTo x="1659" y="18109"/>
                <wp:lineTo x="1970" y="18109"/>
                <wp:lineTo x="1970" y="18524"/>
                <wp:lineTo x="7724" y="19215"/>
                <wp:lineTo x="10783" y="19215"/>
                <wp:lineTo x="10783" y="20321"/>
                <wp:lineTo x="5495" y="20874"/>
                <wp:lineTo x="5443" y="21358"/>
                <wp:lineTo x="6169" y="21496"/>
                <wp:lineTo x="13583" y="21496"/>
                <wp:lineTo x="16330" y="21358"/>
                <wp:lineTo x="16278" y="20943"/>
                <wp:lineTo x="10731" y="20321"/>
                <wp:lineTo x="10731" y="19215"/>
                <wp:lineTo x="9539" y="18109"/>
                <wp:lineTo x="11768" y="18109"/>
                <wp:lineTo x="17315" y="17349"/>
                <wp:lineTo x="17263" y="17004"/>
                <wp:lineTo x="19804" y="17004"/>
                <wp:lineTo x="21463" y="16589"/>
                <wp:lineTo x="21514" y="15414"/>
                <wp:lineTo x="21514" y="4424"/>
                <wp:lineTo x="21411" y="4009"/>
                <wp:lineTo x="21203" y="3525"/>
                <wp:lineTo x="17367" y="3180"/>
                <wp:lineTo x="10628" y="2627"/>
                <wp:lineTo x="10783" y="2281"/>
                <wp:lineTo x="10161" y="2143"/>
                <wp:lineTo x="5806" y="1382"/>
                <wp:lineTo x="5392" y="1382"/>
              </wp:wrapPolygon>
            </wp:wrapTight>
            <wp:docPr id="1148605477" name="Picture 3">
              <a:extLst xmlns:a="http://schemas.openxmlformats.org/drawingml/2006/main">
                <a:ext uri="{FF2B5EF4-FFF2-40B4-BE49-F238E27FC236}">
                  <a16:creationId xmlns:a16="http://schemas.microsoft.com/office/drawing/2014/main" id="{B3F64E31-3BC7-B529-B9C8-B1AD40A3DE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3F64E31-3BC7-B529-B9C8-B1AD40A3DEE7}"/>
                        </a:ext>
                      </a:extLst>
                    </pic:cNvPr>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291455" cy="39687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type="page"/>
      </w:r>
    </w:p>
    <w:p w14:paraId="5003E88C" w14:textId="7186C4E2" w:rsidR="001C7E0F" w:rsidRPr="005E32F5" w:rsidRDefault="00FA442E" w:rsidP="00FA442E">
      <w:pPr>
        <w:spacing w:line="360" w:lineRule="auto"/>
        <w:rPr>
          <w:rFonts w:ascii="Times New Roman" w:hAnsi="Times New Roman" w:cs="Times New Roman"/>
        </w:rPr>
      </w:pPr>
      <w:r w:rsidRPr="005E32F5">
        <w:rPr>
          <w:rFonts w:ascii="Times New Roman" w:hAnsi="Times New Roman" w:cs="Times New Roman"/>
        </w:rPr>
        <w:lastRenderedPageBreak/>
        <w:t>patterns of turnover within a site across seasons and habitats (</w:t>
      </w:r>
      <w:r w:rsidRPr="005E32F5">
        <w:rPr>
          <w:rFonts w:ascii="Times New Roman" w:hAnsi="Times New Roman" w:cs="Times New Roman"/>
          <w:b/>
          <w:bCs/>
        </w:rPr>
        <w:t>Fig. 13</w:t>
      </w:r>
      <w:r w:rsidRPr="005E32F5">
        <w:rPr>
          <w:rFonts w:ascii="Times New Roman" w:hAnsi="Times New Roman" w:cs="Times New Roman"/>
        </w:rPr>
        <w:t>) and</w:t>
      </w:r>
      <w:r>
        <w:rPr>
          <w:rFonts w:ascii="Times New Roman" w:hAnsi="Times New Roman" w:cs="Times New Roman"/>
        </w:rPr>
        <w:t xml:space="preserve"> </w:t>
      </w:r>
      <w:r w:rsidR="002F0DCF" w:rsidRPr="005E32F5">
        <w:rPr>
          <w:rFonts w:ascii="Times New Roman" w:hAnsi="Times New Roman" w:cs="Times New Roman"/>
        </w:rPr>
        <w:t xml:space="preserve"> phylogenetic dissimilarity showed identical trends (Spring to Summer: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2F0DCF" w:rsidRPr="005E32F5">
        <w:rPr>
          <w:rFonts w:ascii="Times New Roman" w:eastAsiaTheme="minorEastAsia" w:hAnsi="Times New Roman" w:cs="Times New Roman"/>
        </w:rPr>
        <w:t>=</w:t>
      </w:r>
      <w:r w:rsidR="002F0DCF" w:rsidRPr="005E32F5">
        <w:rPr>
          <w:rFonts w:ascii="Times New Roman" w:hAnsi="Times New Roman" w:cs="Times New Roman"/>
        </w:rPr>
        <w:t xml:space="preserve">6.47, </w:t>
      </w:r>
      <w:r w:rsidR="002F0DCF" w:rsidRPr="005E32F5">
        <w:rPr>
          <w:rFonts w:ascii="Times New Roman" w:hAnsi="Times New Roman" w:cs="Times New Roman"/>
          <w:i/>
          <w:iCs/>
        </w:rPr>
        <w:t>p=0.01</w:t>
      </w:r>
      <w:r w:rsidR="002F0DCF" w:rsidRPr="005E32F5">
        <w:rPr>
          <w:rFonts w:ascii="Times New Roman" w:hAnsi="Times New Roman" w:cs="Times New Roman"/>
        </w:rPr>
        <w:t xml:space="preserve">, Fall to Winter: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2F0DCF" w:rsidRPr="005E32F5">
        <w:rPr>
          <w:rFonts w:ascii="Times New Roman" w:eastAsiaTheme="minorEastAsia" w:hAnsi="Times New Roman" w:cs="Times New Roman"/>
        </w:rPr>
        <w:t>=</w:t>
      </w:r>
      <w:r w:rsidR="002F0DCF" w:rsidRPr="005E32F5">
        <w:rPr>
          <w:rFonts w:ascii="Times New Roman" w:hAnsi="Times New Roman" w:cs="Times New Roman"/>
        </w:rPr>
        <w:t xml:space="preserve">3.85, </w:t>
      </w:r>
      <w:r w:rsidR="002F0DCF" w:rsidRPr="005E32F5">
        <w:rPr>
          <w:rFonts w:ascii="Times New Roman" w:hAnsi="Times New Roman" w:cs="Times New Roman"/>
          <w:i/>
          <w:iCs/>
        </w:rPr>
        <w:t>p=0.01</w:t>
      </w:r>
      <w:r w:rsidR="002F0DCF" w:rsidRPr="005E32F5">
        <w:rPr>
          <w:rFonts w:ascii="Times New Roman" w:hAnsi="Times New Roman" w:cs="Times New Roman"/>
        </w:rPr>
        <w:t xml:space="preserve">, Summer to Fall: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2F0DCF" w:rsidRPr="005E32F5">
        <w:rPr>
          <w:rFonts w:ascii="Times New Roman" w:eastAsiaTheme="minorEastAsia" w:hAnsi="Times New Roman" w:cs="Times New Roman"/>
        </w:rPr>
        <w:t>=</w:t>
      </w:r>
      <w:r w:rsidR="002F0DCF" w:rsidRPr="005E32F5">
        <w:rPr>
          <w:rFonts w:ascii="Times New Roman" w:hAnsi="Times New Roman" w:cs="Times New Roman"/>
        </w:rPr>
        <w:t xml:space="preserve">1.26, </w:t>
      </w:r>
      <w:r w:rsidR="002F0DCF" w:rsidRPr="005E32F5">
        <w:rPr>
          <w:rFonts w:ascii="Times New Roman" w:hAnsi="Times New Roman" w:cs="Times New Roman"/>
          <w:i/>
          <w:iCs/>
        </w:rPr>
        <w:t>p=0.36</w:t>
      </w:r>
      <w:r w:rsidR="002F0DCF" w:rsidRPr="005E32F5">
        <w:rPr>
          <w:rFonts w:ascii="Times New Roman" w:hAnsi="Times New Roman" w:cs="Times New Roman"/>
        </w:rPr>
        <w:t xml:space="preserve">, Winter to Spring: </w:t>
      </w:r>
      <m:oMath>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w</m:t>
            </m:r>
          </m:sub>
          <m:sup>
            <m:r>
              <w:rPr>
                <w:rFonts w:ascii="Cambria Math" w:hAnsi="Cambria Math" w:cs="Times New Roman"/>
              </w:rPr>
              <m:t>2</m:t>
            </m:r>
          </m:sup>
        </m:sSubSup>
      </m:oMath>
      <w:r w:rsidR="002F0DCF" w:rsidRPr="005E32F5">
        <w:rPr>
          <w:rFonts w:ascii="Times New Roman" w:eastAsiaTheme="minorEastAsia" w:hAnsi="Times New Roman" w:cs="Times New Roman"/>
        </w:rPr>
        <w:t>=</w:t>
      </w:r>
      <w:r w:rsidR="002F0DCF" w:rsidRPr="005E32F5">
        <w:rPr>
          <w:rFonts w:ascii="Times New Roman" w:hAnsi="Times New Roman" w:cs="Times New Roman"/>
        </w:rPr>
        <w:t xml:space="preserve">1.57 </w:t>
      </w:r>
      <w:r w:rsidR="002F0DCF" w:rsidRPr="005E32F5">
        <w:rPr>
          <w:rFonts w:ascii="Times New Roman" w:hAnsi="Times New Roman" w:cs="Times New Roman"/>
          <w:i/>
          <w:iCs/>
        </w:rPr>
        <w:t>p=0.36</w:t>
      </w:r>
      <w:r w:rsidR="002F0DCF" w:rsidRPr="005E32F5">
        <w:rPr>
          <w:rFonts w:ascii="Times New Roman" w:hAnsi="Times New Roman" w:cs="Times New Roman"/>
        </w:rPr>
        <w:t xml:space="preserve">). </w:t>
      </w:r>
    </w:p>
    <w:p w14:paraId="7705C61F" w14:textId="22B56774" w:rsidR="008F5313" w:rsidRDefault="001C7E0F" w:rsidP="00FA442E">
      <w:pPr>
        <w:spacing w:line="360" w:lineRule="auto"/>
        <w:ind w:firstLine="720"/>
        <w:rPr>
          <w:rFonts w:ascii="Times New Roman" w:hAnsi="Times New Roman" w:cs="Times New Roman"/>
        </w:rPr>
      </w:pPr>
      <w:r w:rsidRPr="005E32F5">
        <w:rPr>
          <w:rFonts w:ascii="Times New Roman" w:hAnsi="Times New Roman" w:cs="Times New Roman"/>
        </w:rPr>
        <w:t>Cover objects showed similar patterns as salamanders in terms of variance partitioning and unconstrained ordination. Site explained just 3% of inertia (adjusted r</w:t>
      </w:r>
      <w:r w:rsidRPr="005E32F5">
        <w:rPr>
          <w:rFonts w:ascii="Times New Roman" w:hAnsi="Times New Roman" w:cs="Times New Roman"/>
          <w:vertAlign w:val="superscript"/>
        </w:rPr>
        <w:t>2</w:t>
      </w:r>
      <w:r w:rsidRPr="005E32F5">
        <w:rPr>
          <w:rFonts w:ascii="Times New Roman" w:hAnsi="Times New Roman" w:cs="Times New Roman"/>
        </w:rPr>
        <w:t xml:space="preserve">) for cover objects, while Habitat and Season explained 15% and 6%, respectively. </w:t>
      </w:r>
      <w:proofErr w:type="gramStart"/>
      <w:r w:rsidRPr="005E32F5">
        <w:rPr>
          <w:rFonts w:ascii="Times New Roman" w:hAnsi="Times New Roman" w:cs="Times New Roman"/>
        </w:rPr>
        <w:t>Similar to</w:t>
      </w:r>
      <w:proofErr w:type="gramEnd"/>
      <w:r w:rsidRPr="005E32F5">
        <w:rPr>
          <w:rFonts w:ascii="Times New Roman" w:hAnsi="Times New Roman" w:cs="Times New Roman"/>
        </w:rPr>
        <w:t xml:space="preserve"> salamander samples, the interaction between Habitat and Season explained 37% of the variance. While Habitat and Season predicted a significant amount of variance in our dataset (</w:t>
      </w:r>
      <w:r w:rsidRPr="005E32F5">
        <w:rPr>
          <w:rFonts w:ascii="Times New Roman" w:hAnsi="Times New Roman" w:cs="Times New Roman"/>
          <w:i/>
          <w:iCs/>
        </w:rPr>
        <w:t>p&lt;0.01, p&lt;0.01</w:t>
      </w:r>
      <w:r w:rsidRPr="005E32F5">
        <w:rPr>
          <w:rFonts w:ascii="Times New Roman" w:hAnsi="Times New Roman" w:cs="Times New Roman"/>
        </w:rPr>
        <w:t>), Site did not (</w:t>
      </w:r>
      <w:r w:rsidRPr="005E32F5">
        <w:rPr>
          <w:rFonts w:ascii="Times New Roman" w:hAnsi="Times New Roman" w:cs="Times New Roman"/>
          <w:i/>
          <w:iCs/>
        </w:rPr>
        <w:t>p=0.97</w:t>
      </w:r>
      <w:r w:rsidRPr="005E32F5">
        <w:rPr>
          <w:rFonts w:ascii="Times New Roman" w:hAnsi="Times New Roman" w:cs="Times New Roman"/>
        </w:rPr>
        <w:t xml:space="preserve">), and our unconstrained ordination showed strong clustering associated with Habitat. Evaluating the pairwise turnover described above for assessing turnover within a site, cover objects had the lowest turnover (highest similarity) to </w:t>
      </w:r>
      <w:r w:rsidR="000F0ADC" w:rsidRPr="005E32F5">
        <w:rPr>
          <w:rFonts w:ascii="Times New Roman" w:hAnsi="Times New Roman" w:cs="Times New Roman"/>
        </w:rPr>
        <w:t>cover objects in the same habitat (0.53) and showed the highest average dissimilarity to cover objects in a different habitat (0.825).</w:t>
      </w:r>
    </w:p>
    <w:p w14:paraId="291475C6" w14:textId="53FE4609" w:rsidR="00FA442E" w:rsidRPr="00491D83" w:rsidRDefault="00590E01" w:rsidP="00FA442E">
      <w:pPr>
        <w:pStyle w:val="Heading3"/>
        <w:rPr>
          <w:rFonts w:ascii="Times New Roman" w:hAnsi="Times New Roman" w:cs="Times New Roman"/>
          <w:b w:val="0"/>
          <w:bCs w:val="0"/>
          <w:i w:val="0"/>
        </w:rPr>
      </w:pPr>
      <w:bookmarkStart w:id="138" w:name="_Toc165028089"/>
      <w:r w:rsidRPr="00491D83">
        <w:rPr>
          <w:rFonts w:ascii="Times New Roman" w:hAnsi="Times New Roman" w:cs="Times New Roman"/>
          <w:b w:val="0"/>
          <w:bCs w:val="0"/>
          <w:iCs/>
        </w:rPr>
        <w:t>C</w:t>
      </w:r>
      <w:r w:rsidR="00FA442E" w:rsidRPr="00491D83">
        <w:rPr>
          <w:rFonts w:ascii="Times New Roman" w:hAnsi="Times New Roman" w:cs="Times New Roman"/>
          <w:b w:val="0"/>
          <w:bCs w:val="0"/>
          <w:iCs/>
        </w:rPr>
        <w:t xml:space="preserve">ommon </w:t>
      </w:r>
      <w:r w:rsidR="00786A7C" w:rsidRPr="00491D83">
        <w:rPr>
          <w:rFonts w:ascii="Times New Roman" w:hAnsi="Times New Roman" w:cs="Times New Roman"/>
          <w:b w:val="0"/>
          <w:bCs w:val="0"/>
          <w:iCs/>
        </w:rPr>
        <w:t>c</w:t>
      </w:r>
      <w:r w:rsidR="00FA442E" w:rsidRPr="00491D83">
        <w:rPr>
          <w:rFonts w:ascii="Times New Roman" w:hAnsi="Times New Roman" w:cs="Times New Roman"/>
          <w:b w:val="0"/>
          <w:bCs w:val="0"/>
          <w:iCs/>
        </w:rPr>
        <w:t>ore</w:t>
      </w:r>
      <w:r w:rsidR="00786A7C" w:rsidRPr="00491D83">
        <w:rPr>
          <w:rFonts w:ascii="Times New Roman" w:hAnsi="Times New Roman" w:cs="Times New Roman"/>
          <w:b w:val="0"/>
          <w:bCs w:val="0"/>
          <w:iCs/>
        </w:rPr>
        <w:t xml:space="preserve"> </w:t>
      </w:r>
      <w:r w:rsidR="00E7096E" w:rsidRPr="00491D83">
        <w:rPr>
          <w:rFonts w:ascii="Times New Roman" w:hAnsi="Times New Roman" w:cs="Times New Roman"/>
          <w:b w:val="0"/>
          <w:bCs w:val="0"/>
          <w:iCs/>
        </w:rPr>
        <w:t>reflects</w:t>
      </w:r>
      <w:r w:rsidR="00786A7C" w:rsidRPr="00491D83">
        <w:rPr>
          <w:rFonts w:ascii="Times New Roman" w:hAnsi="Times New Roman" w:cs="Times New Roman"/>
          <w:b w:val="0"/>
          <w:bCs w:val="0"/>
          <w:iCs/>
        </w:rPr>
        <w:t xml:space="preserve"> environmental </w:t>
      </w:r>
      <w:proofErr w:type="gramStart"/>
      <w:r w:rsidR="00786A7C" w:rsidRPr="00491D83">
        <w:rPr>
          <w:rFonts w:ascii="Times New Roman" w:hAnsi="Times New Roman" w:cs="Times New Roman"/>
          <w:b w:val="0"/>
          <w:bCs w:val="0"/>
          <w:iCs/>
        </w:rPr>
        <w:t>reservoirs</w:t>
      </w:r>
      <w:bookmarkEnd w:id="138"/>
      <w:proofErr w:type="gramEnd"/>
      <w:r w:rsidR="00786A7C" w:rsidRPr="00491D83">
        <w:rPr>
          <w:rFonts w:ascii="Times New Roman" w:hAnsi="Times New Roman" w:cs="Times New Roman"/>
          <w:b w:val="0"/>
          <w:bCs w:val="0"/>
          <w:iCs/>
        </w:rPr>
        <w:t xml:space="preserve"> </w:t>
      </w:r>
    </w:p>
    <w:p w14:paraId="4D1A5ABC" w14:textId="255C7840" w:rsidR="00FA442E" w:rsidRDefault="00FA442E" w:rsidP="00FA442E">
      <w:pPr>
        <w:spacing w:line="360" w:lineRule="auto"/>
        <w:ind w:firstLine="720"/>
        <w:rPr>
          <w:rFonts w:ascii="Times New Roman" w:hAnsi="Times New Roman" w:cs="Times New Roman"/>
        </w:rPr>
      </w:pPr>
      <w:r w:rsidRPr="005E32F5">
        <w:rPr>
          <w:rFonts w:ascii="Times New Roman" w:hAnsi="Times New Roman" w:cs="Times New Roman"/>
        </w:rPr>
        <w:t xml:space="preserve">The common core describes OTUs consistently detected on hosts in each sampling period. Our common core definition identified OTUs detected on 80% of salamander hosts in each sampling season (Spring, Summer, Fall, Winter). For the common core, we identified </w:t>
      </w:r>
      <w:r w:rsidR="005F2B3F">
        <w:rPr>
          <w:rFonts w:ascii="Times New Roman" w:hAnsi="Times New Roman" w:cs="Times New Roman"/>
        </w:rPr>
        <w:t>260 OTUs (</w:t>
      </w:r>
      <w:r w:rsidRPr="005E32F5">
        <w:rPr>
          <w:rFonts w:ascii="Times New Roman" w:hAnsi="Times New Roman" w:cs="Times New Roman"/>
        </w:rPr>
        <w:t>164 unique</w:t>
      </w:r>
      <w:r w:rsidR="005F2B3F">
        <w:rPr>
          <w:rFonts w:ascii="Times New Roman" w:hAnsi="Times New Roman" w:cs="Times New Roman"/>
        </w:rPr>
        <w:t>)</w:t>
      </w:r>
      <w:r w:rsidRPr="005E32F5">
        <w:rPr>
          <w:rFonts w:ascii="Times New Roman" w:hAnsi="Times New Roman" w:cs="Times New Roman"/>
        </w:rPr>
        <w:t>, with spring samples having 104 taxa, 43 in winter, 44 in fall, and 69 in summer. In spring, the 104 core taxa consisted of 50 taxonomic families and averaged 0.25 relative abundance on salamander samples and 0.23 in cover objects (</w:t>
      </w:r>
      <w:r w:rsidRPr="005E32F5">
        <w:rPr>
          <w:rFonts w:ascii="Times New Roman" w:hAnsi="Times New Roman" w:cs="Times New Roman"/>
          <w:b/>
          <w:bCs/>
        </w:rPr>
        <w:t>Fig. 14</w:t>
      </w:r>
      <w:r w:rsidRPr="005E32F5">
        <w:rPr>
          <w:rFonts w:ascii="Times New Roman" w:hAnsi="Times New Roman" w:cs="Times New Roman"/>
        </w:rPr>
        <w:t xml:space="preserve">). Across all sites, 67 of these 104 OTUs were in the top 100 most abundant OTUs on hosts in our Spring sampling period. The most abundant taxonomic families on salamander hosts- </w:t>
      </w:r>
      <w:proofErr w:type="spellStart"/>
      <w:r w:rsidRPr="005E32F5">
        <w:rPr>
          <w:rFonts w:ascii="Times New Roman" w:hAnsi="Times New Roman" w:cs="Times New Roman"/>
        </w:rPr>
        <w:t>Chitinophagaceae</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Pedosphaeraceae</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Xanthobacteraceae</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Sphingomonadaceae</w:t>
      </w:r>
      <w:proofErr w:type="spellEnd"/>
      <w:r w:rsidRPr="005E32F5">
        <w:rPr>
          <w:rFonts w:ascii="Times New Roman" w:hAnsi="Times New Roman" w:cs="Times New Roman"/>
        </w:rPr>
        <w:t xml:space="preserve"> – contained core OTUs (5, 5, 2, and 3), although the relative abundance of these families was not exclusively limited to core</w:t>
      </w:r>
      <w:r>
        <w:rPr>
          <w:rFonts w:ascii="Times New Roman" w:hAnsi="Times New Roman" w:cs="Times New Roman"/>
        </w:rPr>
        <w:t xml:space="preserve"> </w:t>
      </w:r>
      <w:r w:rsidRPr="005E32F5">
        <w:rPr>
          <w:rFonts w:ascii="Times New Roman" w:hAnsi="Times New Roman" w:cs="Times New Roman"/>
        </w:rPr>
        <w:t>members. Sixty-nine OTUs were identified as core members for our summer sampling,</w:t>
      </w:r>
      <w:r>
        <w:rPr>
          <w:rFonts w:ascii="Times New Roman" w:hAnsi="Times New Roman" w:cs="Times New Roman"/>
        </w:rPr>
        <w:t xml:space="preserve"> </w:t>
      </w:r>
      <w:r w:rsidRPr="005E32F5">
        <w:rPr>
          <w:rFonts w:ascii="Times New Roman" w:hAnsi="Times New Roman" w:cs="Times New Roman"/>
        </w:rPr>
        <w:t xml:space="preserve">spanning 34 taxonomically identified families. These taxa comprised an average cumulative relative </w:t>
      </w:r>
      <w:r w:rsidR="004E77C8" w:rsidRPr="005E32F5">
        <w:rPr>
          <w:rFonts w:ascii="Times New Roman" w:hAnsi="Times New Roman" w:cs="Times New Roman"/>
        </w:rPr>
        <w:t>abundance of 0.24 on salamanders and 0.25 on cover objects, and 54/69</w:t>
      </w:r>
      <w:r w:rsidR="004E77C8">
        <w:rPr>
          <w:rFonts w:ascii="Times New Roman" w:hAnsi="Times New Roman" w:cs="Times New Roman"/>
        </w:rPr>
        <w:t xml:space="preserve"> </w:t>
      </w:r>
      <w:r w:rsidR="004E77C8" w:rsidRPr="005E32F5">
        <w:rPr>
          <w:rFonts w:ascii="Times New Roman" w:hAnsi="Times New Roman" w:cs="Times New Roman"/>
        </w:rPr>
        <w:t>OTUs were in the top 100 most abundant OTUs on salamanders during the summer sampling period. The most abundant families on salamanders were again heavily comprised of core OTUs, with</w:t>
      </w:r>
      <w:r w:rsidR="004E77C8">
        <w:rPr>
          <w:rFonts w:ascii="Times New Roman" w:hAnsi="Times New Roman" w:cs="Times New Roman"/>
        </w:rPr>
        <w:t xml:space="preserve"> </w:t>
      </w:r>
      <w:proofErr w:type="spellStart"/>
      <w:r w:rsidR="004E77C8" w:rsidRPr="005E32F5">
        <w:rPr>
          <w:rFonts w:ascii="Times New Roman" w:hAnsi="Times New Roman" w:cs="Times New Roman"/>
        </w:rPr>
        <w:t>Chitinophagaceae</w:t>
      </w:r>
      <w:proofErr w:type="spellEnd"/>
      <w:r w:rsidR="004E77C8" w:rsidRPr="005E32F5">
        <w:rPr>
          <w:rFonts w:ascii="Times New Roman" w:hAnsi="Times New Roman" w:cs="Times New Roman"/>
        </w:rPr>
        <w:t xml:space="preserve"> (6), </w:t>
      </w:r>
      <w:proofErr w:type="spellStart"/>
      <w:r w:rsidR="004E77C8" w:rsidRPr="005E32F5">
        <w:rPr>
          <w:rFonts w:ascii="Times New Roman" w:hAnsi="Times New Roman" w:cs="Times New Roman"/>
        </w:rPr>
        <w:t>Comamonadaceae</w:t>
      </w:r>
      <w:proofErr w:type="spellEnd"/>
      <w:r w:rsidR="004E77C8" w:rsidRPr="005E32F5">
        <w:rPr>
          <w:rFonts w:ascii="Times New Roman" w:hAnsi="Times New Roman" w:cs="Times New Roman"/>
        </w:rPr>
        <w:t xml:space="preserve"> (4), </w:t>
      </w:r>
      <w:proofErr w:type="spellStart"/>
      <w:r w:rsidR="004E77C8" w:rsidRPr="005E32F5">
        <w:rPr>
          <w:rFonts w:ascii="Times New Roman" w:hAnsi="Times New Roman" w:cs="Times New Roman"/>
        </w:rPr>
        <w:t>Xanthobacteraceae</w:t>
      </w:r>
      <w:proofErr w:type="spellEnd"/>
      <w:r w:rsidR="004E77C8" w:rsidRPr="005E32F5">
        <w:rPr>
          <w:rFonts w:ascii="Times New Roman" w:hAnsi="Times New Roman" w:cs="Times New Roman"/>
        </w:rPr>
        <w:t xml:space="preserve"> (4), and </w:t>
      </w:r>
      <w:proofErr w:type="spellStart"/>
      <w:r w:rsidR="004E77C8" w:rsidRPr="005E32F5">
        <w:rPr>
          <w:rFonts w:ascii="Times New Roman" w:hAnsi="Times New Roman" w:cs="Times New Roman"/>
        </w:rPr>
        <w:t>Sphingomonadaceae</w:t>
      </w:r>
      <w:proofErr w:type="spellEnd"/>
    </w:p>
    <w:p w14:paraId="73C9D27C" w14:textId="3AB33765" w:rsidR="00FA442E" w:rsidRDefault="00FA442E">
      <w:pPr>
        <w:rPr>
          <w:rFonts w:ascii="Times New Roman" w:hAnsi="Times New Roman" w:cs="Times New Roman"/>
        </w:rPr>
      </w:pPr>
      <w:r>
        <w:rPr>
          <w:rFonts w:ascii="Times New Roman" w:hAnsi="Times New Roman" w:cs="Times New Roman"/>
        </w:rPr>
        <w:br w:type="page"/>
      </w:r>
      <w:r w:rsidR="00A855C4">
        <w:rPr>
          <w:noProof/>
        </w:rPr>
        <w:lastRenderedPageBreak/>
        <mc:AlternateContent>
          <mc:Choice Requires="wps">
            <w:drawing>
              <wp:anchor distT="0" distB="0" distL="114300" distR="114300" simplePos="0" relativeHeight="251777024" behindDoc="1" locked="0" layoutInCell="1" allowOverlap="1" wp14:anchorId="0860F1EA" wp14:editId="6E64CC65">
                <wp:simplePos x="0" y="0"/>
                <wp:positionH relativeFrom="column">
                  <wp:posOffset>368135</wp:posOffset>
                </wp:positionH>
                <wp:positionV relativeFrom="paragraph">
                  <wp:posOffset>4745528</wp:posOffset>
                </wp:positionV>
                <wp:extent cx="5943600" cy="635"/>
                <wp:effectExtent l="0" t="0" r="0" b="12065"/>
                <wp:wrapTight wrapText="bothSides">
                  <wp:wrapPolygon edited="0">
                    <wp:start x="0" y="0"/>
                    <wp:lineTo x="0" y="0"/>
                    <wp:lineTo x="21554" y="0"/>
                    <wp:lineTo x="21554" y="0"/>
                    <wp:lineTo x="0" y="0"/>
                  </wp:wrapPolygon>
                </wp:wrapTight>
                <wp:docPr id="640462405"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85B1EA3" w14:textId="1264F2C6" w:rsidR="00A855C4" w:rsidRPr="00491D83" w:rsidRDefault="00A855C4" w:rsidP="00A855C4">
                            <w:pPr>
                              <w:pStyle w:val="Caption"/>
                              <w:rPr>
                                <w:rFonts w:ascii="Times New Roman" w:hAnsi="Times New Roman" w:cs="Times New Roman"/>
                                <w:b w:val="0"/>
                                <w:bCs w:val="0"/>
                              </w:rPr>
                            </w:pPr>
                            <w:bookmarkStart w:id="139" w:name="_Toc164888602"/>
                            <w:bookmarkStart w:id="140" w:name="_Toc164888698"/>
                            <w:bookmarkStart w:id="141" w:name="_Toc164888834"/>
                            <w:bookmarkStart w:id="142" w:name="_Toc165024870"/>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13</w:t>
                            </w:r>
                            <w:r w:rsidRPr="00491D83">
                              <w:rPr>
                                <w:rFonts w:ascii="Times New Roman" w:hAnsi="Times New Roman" w:cs="Times New Roman"/>
                                <w:b w:val="0"/>
                                <w:bCs w:val="0"/>
                              </w:rPr>
                              <w:fldChar w:fldCharType="end"/>
                            </w:r>
                            <w:r w:rsidRPr="00491D83">
                              <w:rPr>
                                <w:rFonts w:ascii="Times New Roman" w:hAnsi="Times New Roman" w:cs="Times New Roman"/>
                                <w:b w:val="0"/>
                                <w:bCs w:val="0"/>
                              </w:rPr>
                              <w:t>: Pairwise turnover of salamander samples to other samples.</w:t>
                            </w:r>
                            <w:bookmarkEnd w:id="139"/>
                            <w:bookmarkEnd w:id="140"/>
                            <w:bookmarkEnd w:id="141"/>
                            <w:bookmarkEnd w:id="1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60F1EA" id="_x0000_s1038" type="#_x0000_t202" style="position:absolute;margin-left:29pt;margin-top:373.65pt;width:468pt;height:.05pt;z-index:-251539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" stroked="f">
                <v:textbox style="mso-fit-shape-to-text:t" inset="0,0,0,0">
                  <w:txbxContent>
                    <w:p w14:paraId="585B1EA3" w14:textId="1264F2C6" w:rsidR="00A855C4" w:rsidRPr="00491D83" w:rsidRDefault="00A855C4" w:rsidP="00A855C4">
                      <w:pPr>
                        <w:pStyle w:val="Caption"/>
                        <w:rPr>
                          <w:rFonts w:ascii="Times New Roman" w:hAnsi="Times New Roman" w:cs="Times New Roman"/>
                          <w:b w:val="0"/>
                          <w:bCs w:val="0"/>
                        </w:rPr>
                      </w:pPr>
                      <w:bookmarkStart w:id="143" w:name="_Toc164888602"/>
                      <w:bookmarkStart w:id="144" w:name="_Toc164888698"/>
                      <w:bookmarkStart w:id="145" w:name="_Toc164888834"/>
                      <w:bookmarkStart w:id="146" w:name="_Toc165024870"/>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13</w:t>
                      </w:r>
                      <w:r w:rsidRPr="00491D83">
                        <w:rPr>
                          <w:rFonts w:ascii="Times New Roman" w:hAnsi="Times New Roman" w:cs="Times New Roman"/>
                          <w:b w:val="0"/>
                          <w:bCs w:val="0"/>
                        </w:rPr>
                        <w:fldChar w:fldCharType="end"/>
                      </w:r>
                      <w:r w:rsidRPr="00491D83">
                        <w:rPr>
                          <w:rFonts w:ascii="Times New Roman" w:hAnsi="Times New Roman" w:cs="Times New Roman"/>
                          <w:b w:val="0"/>
                          <w:bCs w:val="0"/>
                        </w:rPr>
                        <w:t>: Pairwise turnover of salamander samples to other samples.</w:t>
                      </w:r>
                      <w:bookmarkEnd w:id="143"/>
                      <w:bookmarkEnd w:id="144"/>
                      <w:bookmarkEnd w:id="145"/>
                      <w:bookmarkEnd w:id="146"/>
                    </w:p>
                  </w:txbxContent>
                </v:textbox>
                <w10:wrap type="tight"/>
              </v:shape>
            </w:pict>
          </mc:Fallback>
        </mc:AlternateContent>
      </w:r>
      <w:r w:rsidRPr="00D82873">
        <w:rPr>
          <w:rFonts w:ascii="Times New Roman" w:hAnsi="Times New Roman" w:cs="Times New Roman"/>
          <w:noProof/>
        </w:rPr>
        <w:drawing>
          <wp:anchor distT="0" distB="0" distL="114300" distR="114300" simplePos="0" relativeHeight="251757568" behindDoc="1" locked="0" layoutInCell="1" allowOverlap="1" wp14:anchorId="53C0FA48" wp14:editId="01A622D1">
            <wp:simplePos x="0" y="0"/>
            <wp:positionH relativeFrom="column">
              <wp:posOffset>0</wp:posOffset>
            </wp:positionH>
            <wp:positionV relativeFrom="paragraph">
              <wp:posOffset>0</wp:posOffset>
            </wp:positionV>
            <wp:extent cx="5943600" cy="4754880"/>
            <wp:effectExtent l="0" t="0" r="0" b="0"/>
            <wp:wrapTight wrapText="bothSides">
              <wp:wrapPolygon edited="0">
                <wp:start x="1708" y="58"/>
                <wp:lineTo x="785" y="1038"/>
                <wp:lineTo x="831" y="1154"/>
                <wp:lineTo x="1662" y="2019"/>
                <wp:lineTo x="1708" y="4788"/>
                <wp:lineTo x="831" y="5192"/>
                <wp:lineTo x="831" y="5596"/>
                <wp:lineTo x="1708" y="5712"/>
                <wp:lineTo x="1708" y="7558"/>
                <wp:lineTo x="323" y="7558"/>
                <wp:lineTo x="92" y="7673"/>
                <wp:lineTo x="92" y="11654"/>
                <wp:lineTo x="1708" y="12173"/>
                <wp:lineTo x="1708" y="13096"/>
                <wp:lineTo x="1062" y="13558"/>
                <wp:lineTo x="785" y="13846"/>
                <wp:lineTo x="785" y="14077"/>
                <wp:lineTo x="1662" y="14942"/>
                <wp:lineTo x="1708" y="17712"/>
                <wp:lineTo x="831" y="18058"/>
                <wp:lineTo x="831" y="18404"/>
                <wp:lineTo x="1708" y="18635"/>
                <wp:lineTo x="1754" y="20308"/>
                <wp:lineTo x="2723" y="20481"/>
                <wp:lineTo x="7431" y="20654"/>
                <wp:lineTo x="20308" y="20654"/>
                <wp:lineTo x="20769" y="20481"/>
                <wp:lineTo x="21508" y="19904"/>
                <wp:lineTo x="21554" y="19096"/>
                <wp:lineTo x="21369" y="18981"/>
                <wp:lineTo x="19846" y="18635"/>
                <wp:lineTo x="21415" y="18288"/>
                <wp:lineTo x="21415" y="18115"/>
                <wp:lineTo x="19846" y="17712"/>
                <wp:lineTo x="19846" y="14019"/>
                <wp:lineTo x="21462" y="13962"/>
                <wp:lineTo x="21462" y="13846"/>
                <wp:lineTo x="19846" y="13096"/>
                <wp:lineTo x="19846" y="10327"/>
                <wp:lineTo x="21462" y="9692"/>
                <wp:lineTo x="21462" y="9519"/>
                <wp:lineTo x="19892" y="9404"/>
                <wp:lineTo x="19985" y="6635"/>
                <wp:lineTo x="20862" y="5827"/>
                <wp:lineTo x="20862" y="5712"/>
                <wp:lineTo x="21415" y="5481"/>
                <wp:lineTo x="21415" y="5308"/>
                <wp:lineTo x="20862" y="4788"/>
                <wp:lineTo x="20954" y="3692"/>
                <wp:lineTo x="20723" y="3462"/>
                <wp:lineTo x="19985" y="2942"/>
                <wp:lineTo x="19938" y="2308"/>
                <wp:lineTo x="19892" y="2019"/>
                <wp:lineTo x="21462" y="1096"/>
                <wp:lineTo x="21508" y="404"/>
                <wp:lineTo x="19523" y="173"/>
                <wp:lineTo x="13477" y="58"/>
                <wp:lineTo x="1708" y="58"/>
              </wp:wrapPolygon>
            </wp:wrapTight>
            <wp:docPr id="1342252252" name="Picture 4">
              <a:extLst xmlns:a="http://schemas.openxmlformats.org/drawingml/2006/main">
                <a:ext uri="{FF2B5EF4-FFF2-40B4-BE49-F238E27FC236}">
                  <a16:creationId xmlns:a16="http://schemas.microsoft.com/office/drawing/2014/main" id="{DDF996AB-C70D-EC56-F51C-C7A990183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DF996AB-C70D-EC56-F51C-C7A99018300E}"/>
                        </a:ext>
                      </a:extLst>
                    </pic:cNvPr>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type="page"/>
      </w:r>
    </w:p>
    <w:p w14:paraId="3CDFCF6A" w14:textId="0A564E0F" w:rsidR="00FA442E" w:rsidRDefault="00FA442E" w:rsidP="00FA442E">
      <w:pPr>
        <w:spacing w:line="360" w:lineRule="auto"/>
        <w:rPr>
          <w:rFonts w:ascii="Times New Roman" w:hAnsi="Times New Roman" w:cs="Times New Roman"/>
        </w:rPr>
      </w:pPr>
    </w:p>
    <w:p w14:paraId="2E6A5AE3" w14:textId="55A4259E" w:rsidR="001A6BA0" w:rsidRDefault="00A855C4" w:rsidP="00FA442E">
      <w:pPr>
        <w:pStyle w:val="Caption"/>
        <w:rPr>
          <w:rFonts w:ascii="Times New Roman" w:hAnsi="Times New Roman" w:cs="Times New Roman"/>
        </w:rPr>
      </w:pPr>
      <w:r>
        <w:rPr>
          <w:noProof/>
        </w:rPr>
        <mc:AlternateContent>
          <mc:Choice Requires="wps">
            <w:drawing>
              <wp:anchor distT="0" distB="0" distL="114300" distR="114300" simplePos="0" relativeHeight="251779072" behindDoc="1" locked="0" layoutInCell="1" allowOverlap="1" wp14:anchorId="1543F086" wp14:editId="0CE6A61E">
                <wp:simplePos x="0" y="0"/>
                <wp:positionH relativeFrom="column">
                  <wp:posOffset>48260</wp:posOffset>
                </wp:positionH>
                <wp:positionV relativeFrom="paragraph">
                  <wp:posOffset>4592955</wp:posOffset>
                </wp:positionV>
                <wp:extent cx="5943600" cy="635"/>
                <wp:effectExtent l="0" t="0" r="0" b="12065"/>
                <wp:wrapTight wrapText="bothSides">
                  <wp:wrapPolygon edited="0">
                    <wp:start x="0" y="0"/>
                    <wp:lineTo x="0" y="0"/>
                    <wp:lineTo x="21554" y="0"/>
                    <wp:lineTo x="21554" y="0"/>
                    <wp:lineTo x="0" y="0"/>
                  </wp:wrapPolygon>
                </wp:wrapTight>
                <wp:docPr id="1120004354"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2118F60D" w14:textId="1ED4F607" w:rsidR="00A855C4" w:rsidRPr="00491D83" w:rsidRDefault="00A855C4" w:rsidP="00A855C4">
                            <w:pPr>
                              <w:pStyle w:val="Caption"/>
                              <w:rPr>
                                <w:rFonts w:ascii="Times New Roman" w:hAnsi="Times New Roman" w:cs="Times New Roman"/>
                                <w:b w:val="0"/>
                                <w:bCs w:val="0"/>
                                <w:noProof/>
                              </w:rPr>
                            </w:pPr>
                            <w:bookmarkStart w:id="147" w:name="_Toc164888603"/>
                            <w:bookmarkStart w:id="148" w:name="_Toc164888699"/>
                            <w:bookmarkStart w:id="149" w:name="_Toc164888835"/>
                            <w:bookmarkStart w:id="150" w:name="_Toc165024871"/>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14</w:t>
                            </w:r>
                            <w:r w:rsidRPr="00491D83">
                              <w:rPr>
                                <w:rFonts w:ascii="Times New Roman" w:hAnsi="Times New Roman" w:cs="Times New Roman"/>
                                <w:b w:val="0"/>
                                <w:bCs w:val="0"/>
                              </w:rPr>
                              <w:fldChar w:fldCharType="end"/>
                            </w:r>
                            <w:r w:rsidRPr="00491D83">
                              <w:rPr>
                                <w:rFonts w:ascii="Times New Roman" w:hAnsi="Times New Roman" w:cs="Times New Roman"/>
                                <w:b w:val="0"/>
                                <w:bCs w:val="0"/>
                              </w:rPr>
                              <w:t>: Relative abundance of the common ‘core’ microbiome on salamanders and cover objects. Red points denote core membership for that season, while blue indicate core OTUs for other seasons.</w:t>
                            </w:r>
                            <w:bookmarkEnd w:id="147"/>
                            <w:bookmarkEnd w:id="148"/>
                            <w:bookmarkEnd w:id="149"/>
                            <w:bookmarkEnd w:id="1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43F086" id="_x0000_s1039" type="#_x0000_t202" style="position:absolute;margin-left:3.8pt;margin-top:361.65pt;width:468pt;height:.05pt;z-index:-25153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" stroked="f">
                <v:textbox style="mso-fit-shape-to-text:t" inset="0,0,0,0">
                  <w:txbxContent>
                    <w:p w14:paraId="2118F60D" w14:textId="1ED4F607" w:rsidR="00A855C4" w:rsidRPr="00491D83" w:rsidRDefault="00A855C4" w:rsidP="00A855C4">
                      <w:pPr>
                        <w:pStyle w:val="Caption"/>
                        <w:rPr>
                          <w:rFonts w:ascii="Times New Roman" w:hAnsi="Times New Roman" w:cs="Times New Roman"/>
                          <w:b w:val="0"/>
                          <w:bCs w:val="0"/>
                          <w:noProof/>
                        </w:rPr>
                      </w:pPr>
                      <w:bookmarkStart w:id="151" w:name="_Toc164888603"/>
                      <w:bookmarkStart w:id="152" w:name="_Toc164888699"/>
                      <w:bookmarkStart w:id="153" w:name="_Toc164888835"/>
                      <w:bookmarkStart w:id="154" w:name="_Toc165024871"/>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14</w:t>
                      </w:r>
                      <w:r w:rsidRPr="00491D83">
                        <w:rPr>
                          <w:rFonts w:ascii="Times New Roman" w:hAnsi="Times New Roman" w:cs="Times New Roman"/>
                          <w:b w:val="0"/>
                          <w:bCs w:val="0"/>
                        </w:rPr>
                        <w:fldChar w:fldCharType="end"/>
                      </w:r>
                      <w:r w:rsidRPr="00491D83">
                        <w:rPr>
                          <w:rFonts w:ascii="Times New Roman" w:hAnsi="Times New Roman" w:cs="Times New Roman"/>
                          <w:b w:val="0"/>
                          <w:bCs w:val="0"/>
                        </w:rPr>
                        <w:t>: Relative abundance of the common ‘core’ microbiome on salamanders and cover objects. Red points denote core membership for that season, while blue indicate core OTUs for other seasons.</w:t>
                      </w:r>
                      <w:bookmarkEnd w:id="151"/>
                      <w:bookmarkEnd w:id="152"/>
                      <w:bookmarkEnd w:id="153"/>
                      <w:bookmarkEnd w:id="154"/>
                    </w:p>
                  </w:txbxContent>
                </v:textbox>
                <w10:wrap type="tight"/>
              </v:shape>
            </w:pict>
          </mc:Fallback>
        </mc:AlternateContent>
      </w:r>
      <w:r w:rsidR="00D24CDA" w:rsidRPr="00D82873">
        <w:rPr>
          <w:rFonts w:ascii="Times New Roman" w:hAnsi="Times New Roman" w:cs="Times New Roman"/>
          <w:noProof/>
        </w:rPr>
        <w:drawing>
          <wp:anchor distT="0" distB="0" distL="114300" distR="114300" simplePos="0" relativeHeight="251760640" behindDoc="1" locked="0" layoutInCell="1" allowOverlap="1" wp14:anchorId="1B500EB5" wp14:editId="3A5D4A4E">
            <wp:simplePos x="0" y="0"/>
            <wp:positionH relativeFrom="column">
              <wp:posOffset>48828</wp:posOffset>
            </wp:positionH>
            <wp:positionV relativeFrom="paragraph">
              <wp:posOffset>78105</wp:posOffset>
            </wp:positionV>
            <wp:extent cx="5943600" cy="4457700"/>
            <wp:effectExtent l="0" t="0" r="0" b="0"/>
            <wp:wrapTight wrapText="bothSides">
              <wp:wrapPolygon edited="0">
                <wp:start x="2400" y="123"/>
                <wp:lineTo x="831" y="1231"/>
                <wp:lineTo x="831" y="1477"/>
                <wp:lineTo x="2031" y="2215"/>
                <wp:lineTo x="2400" y="2215"/>
                <wp:lineTo x="1246" y="2708"/>
                <wp:lineTo x="877" y="2954"/>
                <wp:lineTo x="923" y="3262"/>
                <wp:lineTo x="2308" y="4185"/>
                <wp:lineTo x="508" y="4308"/>
                <wp:lineTo x="231" y="4431"/>
                <wp:lineTo x="231" y="17169"/>
                <wp:lineTo x="1892" y="17969"/>
                <wp:lineTo x="2215" y="17969"/>
                <wp:lineTo x="2215" y="19385"/>
                <wp:lineTo x="2723" y="19938"/>
                <wp:lineTo x="3000" y="20123"/>
                <wp:lineTo x="3185" y="20369"/>
                <wp:lineTo x="6369" y="20923"/>
                <wp:lineTo x="6369" y="21477"/>
                <wp:lineTo x="7154" y="21538"/>
                <wp:lineTo x="11908" y="21538"/>
                <wp:lineTo x="15831" y="21538"/>
                <wp:lineTo x="15831" y="20923"/>
                <wp:lineTo x="21554" y="20369"/>
                <wp:lineTo x="21554" y="19938"/>
                <wp:lineTo x="21415" y="18338"/>
                <wp:lineTo x="21231" y="17969"/>
                <wp:lineTo x="21415" y="17477"/>
                <wp:lineTo x="21415" y="17046"/>
                <wp:lineTo x="21231" y="16985"/>
                <wp:lineTo x="21231" y="16000"/>
                <wp:lineTo x="21415" y="15508"/>
                <wp:lineTo x="21415" y="15077"/>
                <wp:lineTo x="21231" y="15015"/>
                <wp:lineTo x="21231" y="14031"/>
                <wp:lineTo x="21415" y="13538"/>
                <wp:lineTo x="21415" y="13108"/>
                <wp:lineTo x="21231" y="13046"/>
                <wp:lineTo x="21231" y="12062"/>
                <wp:lineTo x="21415" y="11569"/>
                <wp:lineTo x="21415" y="11138"/>
                <wp:lineTo x="21231" y="11077"/>
                <wp:lineTo x="21323" y="10523"/>
                <wp:lineTo x="20769" y="10523"/>
                <wp:lineTo x="10800" y="10092"/>
                <wp:lineTo x="19892" y="10092"/>
                <wp:lineTo x="21554" y="9969"/>
                <wp:lineTo x="21554" y="8123"/>
                <wp:lineTo x="20400" y="7138"/>
                <wp:lineTo x="21415" y="6892"/>
                <wp:lineTo x="21415" y="6831"/>
                <wp:lineTo x="20400" y="6154"/>
                <wp:lineTo x="20400" y="5169"/>
                <wp:lineTo x="21369" y="5169"/>
                <wp:lineTo x="21462" y="4985"/>
                <wp:lineTo x="20908" y="4185"/>
                <wp:lineTo x="21415" y="3262"/>
                <wp:lineTo x="21462" y="2954"/>
                <wp:lineTo x="20954" y="2400"/>
                <wp:lineTo x="20400" y="2215"/>
                <wp:lineTo x="21415" y="1538"/>
                <wp:lineTo x="21415" y="1415"/>
                <wp:lineTo x="20400" y="1231"/>
                <wp:lineTo x="21092" y="738"/>
                <wp:lineTo x="21092" y="431"/>
                <wp:lineTo x="20354" y="123"/>
                <wp:lineTo x="2400" y="123"/>
              </wp:wrapPolygon>
            </wp:wrapTight>
            <wp:docPr id="2029650767" name="Content Placeholder 4">
              <a:extLst xmlns:a="http://schemas.openxmlformats.org/drawingml/2006/main">
                <a:ext uri="{FF2B5EF4-FFF2-40B4-BE49-F238E27FC236}">
                  <a16:creationId xmlns:a16="http://schemas.microsoft.com/office/drawing/2014/main" id="{C1FF9170-04E6-0CF3-F99A-D7F2D60D53E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C1FF9170-04E6-0CF3-F99A-D7F2D60D53E0}"/>
                        </a:ext>
                      </a:extLst>
                    </pic:cNvPr>
                    <pic:cNvPicPr>
                      <a:picLocks noGrp="1"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14:sizeRelH relativeFrom="page">
              <wp14:pctWidth>0</wp14:pctWidth>
            </wp14:sizeRelH>
            <wp14:sizeRelV relativeFrom="page">
              <wp14:pctHeight>0</wp14:pctHeight>
            </wp14:sizeRelV>
          </wp:anchor>
        </w:drawing>
      </w:r>
      <w:r w:rsidR="00FA442E" w:rsidRPr="00FA442E">
        <w:rPr>
          <w:rFonts w:ascii="Times New Roman" w:hAnsi="Times New Roman" w:cs="Times New Roman"/>
        </w:rPr>
        <w:t xml:space="preserve"> </w:t>
      </w:r>
    </w:p>
    <w:p w14:paraId="305B2260" w14:textId="20B1A352" w:rsidR="00FA442E" w:rsidRDefault="00FA442E">
      <w:pPr>
        <w:rPr>
          <w:rFonts w:ascii="Times New Roman" w:hAnsi="Times New Roman" w:cs="Times New Roman"/>
        </w:rPr>
      </w:pPr>
      <w:r>
        <w:rPr>
          <w:rFonts w:ascii="Times New Roman" w:hAnsi="Times New Roman" w:cs="Times New Roman"/>
        </w:rPr>
        <w:br w:type="page"/>
      </w:r>
    </w:p>
    <w:p w14:paraId="3218B3FA" w14:textId="38298D8D" w:rsidR="001C7E0F" w:rsidRPr="005E32F5" w:rsidRDefault="001C7E0F" w:rsidP="00FA442E">
      <w:pPr>
        <w:spacing w:line="360" w:lineRule="auto"/>
        <w:rPr>
          <w:rFonts w:ascii="Times New Roman" w:hAnsi="Times New Roman" w:cs="Times New Roman"/>
        </w:rPr>
      </w:pPr>
      <w:r w:rsidRPr="005E32F5">
        <w:rPr>
          <w:rFonts w:ascii="Times New Roman" w:hAnsi="Times New Roman" w:cs="Times New Roman"/>
        </w:rPr>
        <w:lastRenderedPageBreak/>
        <w:t xml:space="preserve"> (5) constituting both the highest relative abundance on salamanders and core membership</w:t>
      </w:r>
      <w:r w:rsidR="00246351">
        <w:rPr>
          <w:rFonts w:ascii="Times New Roman" w:hAnsi="Times New Roman" w:cs="Times New Roman"/>
        </w:rPr>
        <w:t xml:space="preserve"> (</w:t>
      </w:r>
      <w:r w:rsidR="00246351" w:rsidRPr="00246351">
        <w:rPr>
          <w:rFonts w:ascii="Times New Roman" w:hAnsi="Times New Roman" w:cs="Times New Roman"/>
          <w:b/>
          <w:bCs/>
        </w:rPr>
        <w:t>Fig</w:t>
      </w:r>
      <w:r w:rsidR="00246351">
        <w:rPr>
          <w:rFonts w:ascii="Times New Roman" w:hAnsi="Times New Roman" w:cs="Times New Roman"/>
          <w:b/>
          <w:bCs/>
        </w:rPr>
        <w:t>s</w:t>
      </w:r>
      <w:r w:rsidR="00246351" w:rsidRPr="00246351">
        <w:rPr>
          <w:rFonts w:ascii="Times New Roman" w:hAnsi="Times New Roman" w:cs="Times New Roman"/>
          <w:b/>
          <w:bCs/>
        </w:rPr>
        <w:t xml:space="preserve">. </w:t>
      </w:r>
      <w:r w:rsidR="003858C2">
        <w:rPr>
          <w:rFonts w:ascii="Times New Roman" w:hAnsi="Times New Roman" w:cs="Times New Roman"/>
          <w:b/>
          <w:bCs/>
        </w:rPr>
        <w:t>A9-A10</w:t>
      </w:r>
      <w:r w:rsidR="00246351">
        <w:rPr>
          <w:rFonts w:ascii="Times New Roman" w:hAnsi="Times New Roman" w:cs="Times New Roman"/>
        </w:rPr>
        <w:t>)</w:t>
      </w:r>
      <w:r w:rsidRPr="005E32F5">
        <w:rPr>
          <w:rFonts w:ascii="Times New Roman" w:hAnsi="Times New Roman" w:cs="Times New Roman"/>
        </w:rPr>
        <w:t>.</w:t>
      </w:r>
    </w:p>
    <w:p w14:paraId="5F7C50FD" w14:textId="409E5A60" w:rsidR="0039197A" w:rsidRPr="00FA442E" w:rsidRDefault="001C7E0F" w:rsidP="00FA442E">
      <w:pPr>
        <w:spacing w:line="360" w:lineRule="auto"/>
        <w:ind w:firstLine="720"/>
        <w:rPr>
          <w:rFonts w:ascii="Times New Roman" w:hAnsi="Times New Roman" w:cs="Times New Roman"/>
        </w:rPr>
      </w:pPr>
      <w:r w:rsidRPr="005E32F5">
        <w:rPr>
          <w:rFonts w:ascii="Times New Roman" w:hAnsi="Times New Roman" w:cs="Times New Roman"/>
        </w:rPr>
        <w:t xml:space="preserve">The common core associated with fall sampling contained 44 OTUs with an average relative abundance of 0.22 on salamanders and 0.17 on cover objects. These taxa consisted of 28 families, with </w:t>
      </w:r>
      <w:proofErr w:type="spellStart"/>
      <w:r w:rsidRPr="005E32F5">
        <w:rPr>
          <w:rFonts w:ascii="Times New Roman" w:hAnsi="Times New Roman" w:cs="Times New Roman"/>
        </w:rPr>
        <w:t>Sphingobacteriaceae</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Sphingomonadaceae</w:t>
      </w:r>
      <w:proofErr w:type="spellEnd"/>
      <w:r w:rsidRPr="005E32F5">
        <w:rPr>
          <w:rFonts w:ascii="Times New Roman" w:hAnsi="Times New Roman" w:cs="Times New Roman"/>
        </w:rPr>
        <w:t xml:space="preserve"> containing three OTUs a piece, and only seven families containing more than one OTU. Community-level relative </w:t>
      </w:r>
      <w:r w:rsidR="000F0ADC" w:rsidRPr="005E32F5">
        <w:rPr>
          <w:rFonts w:ascii="Times New Roman" w:hAnsi="Times New Roman" w:cs="Times New Roman"/>
        </w:rPr>
        <w:t xml:space="preserve">abundance again relied heavily on core members, with </w:t>
      </w:r>
      <w:proofErr w:type="spellStart"/>
      <w:r w:rsidR="000F0ADC" w:rsidRPr="005E32F5">
        <w:rPr>
          <w:rFonts w:ascii="Times New Roman" w:hAnsi="Times New Roman" w:cs="Times New Roman"/>
        </w:rPr>
        <w:t>Chitinophagaceae</w:t>
      </w:r>
      <w:proofErr w:type="spellEnd"/>
      <w:r w:rsidR="000F0ADC" w:rsidRPr="005E32F5">
        <w:rPr>
          <w:rFonts w:ascii="Times New Roman" w:hAnsi="Times New Roman" w:cs="Times New Roman"/>
        </w:rPr>
        <w:t xml:space="preserve"> being the most abundant taxonomic family and containing two core OTUs, followed by </w:t>
      </w:r>
      <w:proofErr w:type="spellStart"/>
      <w:r w:rsidR="000F0ADC" w:rsidRPr="005E32F5">
        <w:rPr>
          <w:rFonts w:ascii="Times New Roman" w:hAnsi="Times New Roman" w:cs="Times New Roman"/>
        </w:rPr>
        <w:t>Comamonadaceae</w:t>
      </w:r>
      <w:proofErr w:type="spellEnd"/>
      <w:r w:rsidR="000F0ADC">
        <w:rPr>
          <w:rFonts w:ascii="Times New Roman" w:hAnsi="Times New Roman" w:cs="Times New Roman"/>
        </w:rPr>
        <w:t xml:space="preserve"> </w:t>
      </w:r>
      <w:r w:rsidR="000F0ADC" w:rsidRPr="005E32F5">
        <w:rPr>
          <w:rFonts w:ascii="Times New Roman" w:hAnsi="Times New Roman" w:cs="Times New Roman"/>
        </w:rPr>
        <w:t xml:space="preserve">and Pseudomonadaceae </w:t>
      </w:r>
    </w:p>
    <w:p w14:paraId="6B386FE6" w14:textId="7B8FB9C1" w:rsidR="008F5313" w:rsidRPr="005E32F5" w:rsidRDefault="008F5313" w:rsidP="008F5313">
      <w:pPr>
        <w:spacing w:line="360" w:lineRule="auto"/>
        <w:rPr>
          <w:rFonts w:ascii="Times New Roman" w:hAnsi="Times New Roman" w:cs="Times New Roman"/>
        </w:rPr>
      </w:pPr>
      <w:r>
        <w:rPr>
          <w:rFonts w:ascii="Times New Roman" w:hAnsi="Times New Roman" w:cs="Times New Roman"/>
        </w:rPr>
        <w:t>r</w:t>
      </w:r>
      <w:r w:rsidRPr="005E32F5">
        <w:rPr>
          <w:rFonts w:ascii="Times New Roman" w:hAnsi="Times New Roman" w:cs="Times New Roman"/>
        </w:rPr>
        <w:t xml:space="preserve">epresented by just a single core member each, and </w:t>
      </w:r>
      <w:proofErr w:type="spellStart"/>
      <w:r w:rsidRPr="005E32F5">
        <w:rPr>
          <w:rFonts w:ascii="Times New Roman" w:hAnsi="Times New Roman" w:cs="Times New Roman"/>
        </w:rPr>
        <w:t>Sphingomonadaceae</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Xanthobacteraceae</w:t>
      </w:r>
      <w:proofErr w:type="spellEnd"/>
      <w:r w:rsidRPr="005E32F5">
        <w:rPr>
          <w:rFonts w:ascii="Times New Roman" w:hAnsi="Times New Roman" w:cs="Times New Roman"/>
        </w:rPr>
        <w:t xml:space="preserve"> containing 3 and 2 core OTUs, respectively. Thirty-seven of our 44 common core OTUs for fall sampling were </w:t>
      </w:r>
      <w:r w:rsidR="00246351">
        <w:rPr>
          <w:rFonts w:ascii="Times New Roman" w:hAnsi="Times New Roman" w:cs="Times New Roman"/>
        </w:rPr>
        <w:t>among</w:t>
      </w:r>
      <w:r w:rsidRPr="005E32F5">
        <w:rPr>
          <w:rFonts w:ascii="Times New Roman" w:hAnsi="Times New Roman" w:cs="Times New Roman"/>
        </w:rPr>
        <w:t xml:space="preserve"> the top 100 most abundant OTUs.</w:t>
      </w:r>
      <w:r w:rsidRPr="000F0ADC">
        <w:rPr>
          <w:rFonts w:ascii="Times New Roman" w:hAnsi="Times New Roman" w:cs="Times New Roman"/>
        </w:rPr>
        <w:t xml:space="preserve"> </w:t>
      </w:r>
      <w:r w:rsidRPr="005E32F5">
        <w:rPr>
          <w:rFonts w:ascii="Times New Roman" w:hAnsi="Times New Roman" w:cs="Times New Roman"/>
        </w:rPr>
        <w:t>Winter sampling found 43 common taxa detected across 80% of salamanders</w:t>
      </w:r>
      <w:r w:rsidR="00246351">
        <w:rPr>
          <w:rFonts w:ascii="Times New Roman" w:hAnsi="Times New Roman" w:cs="Times New Roman"/>
        </w:rPr>
        <w:t xml:space="preserve"> and </w:t>
      </w:r>
      <w:r w:rsidRPr="005E32F5">
        <w:rPr>
          <w:rFonts w:ascii="Times New Roman" w:hAnsi="Times New Roman" w:cs="Times New Roman"/>
        </w:rPr>
        <w:t xml:space="preserve">were equally abundant on salamanders and cover objects, averaging 0.16 relative abundance. These taxa spanned 27 families, </w:t>
      </w:r>
      <w:r>
        <w:rPr>
          <w:rFonts w:ascii="Times New Roman" w:hAnsi="Times New Roman" w:cs="Times New Roman"/>
        </w:rPr>
        <w:t xml:space="preserve">and </w:t>
      </w:r>
      <w:proofErr w:type="gramStart"/>
      <w:r>
        <w:rPr>
          <w:rFonts w:ascii="Times New Roman" w:hAnsi="Times New Roman" w:cs="Times New Roman"/>
        </w:rPr>
        <w:t>contained</w:t>
      </w:r>
      <w:proofErr w:type="gramEnd"/>
      <w:r>
        <w:rPr>
          <w:rFonts w:ascii="Times New Roman" w:hAnsi="Times New Roman" w:cs="Times New Roman"/>
        </w:rPr>
        <w:t xml:space="preserve"> </w:t>
      </w:r>
    </w:p>
    <w:p w14:paraId="50D90776" w14:textId="40C84303" w:rsidR="002F0DCF" w:rsidRPr="005E32F5" w:rsidRDefault="002F0DCF" w:rsidP="001C7E0F">
      <w:pPr>
        <w:spacing w:line="360" w:lineRule="auto"/>
        <w:rPr>
          <w:rFonts w:ascii="Times New Roman" w:hAnsi="Times New Roman" w:cs="Times New Roman"/>
        </w:rPr>
      </w:pPr>
      <w:r w:rsidRPr="005E32F5">
        <w:rPr>
          <w:rFonts w:ascii="Times New Roman" w:hAnsi="Times New Roman" w:cs="Times New Roman"/>
        </w:rPr>
        <w:t xml:space="preserve">34 of our top 100 most abundant OTUs in winter. The most abundant family during our winter sampling was again </w:t>
      </w:r>
      <w:proofErr w:type="spellStart"/>
      <w:r w:rsidRPr="005E32F5">
        <w:rPr>
          <w:rFonts w:ascii="Times New Roman" w:hAnsi="Times New Roman" w:cs="Times New Roman"/>
        </w:rPr>
        <w:t>Chitinophagaceae</w:t>
      </w:r>
      <w:proofErr w:type="spellEnd"/>
      <w:r w:rsidRPr="005E32F5">
        <w:rPr>
          <w:rFonts w:ascii="Times New Roman" w:hAnsi="Times New Roman" w:cs="Times New Roman"/>
        </w:rPr>
        <w:t xml:space="preserve"> which only contained a single core member, followed by </w:t>
      </w:r>
      <w:proofErr w:type="spellStart"/>
      <w:r w:rsidRPr="005E32F5">
        <w:rPr>
          <w:rFonts w:ascii="Times New Roman" w:hAnsi="Times New Roman" w:cs="Times New Roman"/>
        </w:rPr>
        <w:t>Sphingomonadaceae</w:t>
      </w:r>
      <w:proofErr w:type="spellEnd"/>
      <w:r w:rsidRPr="005E32F5">
        <w:rPr>
          <w:rFonts w:ascii="Times New Roman" w:hAnsi="Times New Roman" w:cs="Times New Roman"/>
        </w:rPr>
        <w:t xml:space="preserve"> (3), </w:t>
      </w:r>
      <w:proofErr w:type="spellStart"/>
      <w:r w:rsidRPr="005E32F5">
        <w:rPr>
          <w:rFonts w:ascii="Times New Roman" w:hAnsi="Times New Roman" w:cs="Times New Roman"/>
        </w:rPr>
        <w:t>Pedosphaeraceae</w:t>
      </w:r>
      <w:proofErr w:type="spellEnd"/>
      <w:r w:rsidRPr="005E32F5">
        <w:rPr>
          <w:rFonts w:ascii="Times New Roman" w:hAnsi="Times New Roman" w:cs="Times New Roman"/>
        </w:rPr>
        <w:t xml:space="preserve"> (2), and </w:t>
      </w:r>
      <w:proofErr w:type="spellStart"/>
      <w:r w:rsidRPr="005E32F5">
        <w:rPr>
          <w:rFonts w:ascii="Times New Roman" w:hAnsi="Times New Roman" w:cs="Times New Roman"/>
        </w:rPr>
        <w:t>Comamonadaceae</w:t>
      </w:r>
      <w:proofErr w:type="spellEnd"/>
      <w:r w:rsidRPr="005E32F5">
        <w:rPr>
          <w:rFonts w:ascii="Times New Roman" w:hAnsi="Times New Roman" w:cs="Times New Roman"/>
        </w:rPr>
        <w:t xml:space="preserve">, with </w:t>
      </w:r>
      <w:proofErr w:type="spellStart"/>
      <w:r w:rsidRPr="005E32F5">
        <w:rPr>
          <w:rFonts w:ascii="Times New Roman" w:hAnsi="Times New Roman" w:cs="Times New Roman"/>
        </w:rPr>
        <w:t>Comamonadaceae</w:t>
      </w:r>
      <w:proofErr w:type="spellEnd"/>
      <w:r w:rsidRPr="005E32F5">
        <w:rPr>
          <w:rFonts w:ascii="Times New Roman" w:hAnsi="Times New Roman" w:cs="Times New Roman"/>
        </w:rPr>
        <w:t xml:space="preserve"> being the most represented family in our winter common core</w:t>
      </w:r>
      <w:r w:rsidR="00246351">
        <w:rPr>
          <w:rFonts w:ascii="Times New Roman" w:hAnsi="Times New Roman" w:cs="Times New Roman"/>
        </w:rPr>
        <w:t xml:space="preserve"> with </w:t>
      </w:r>
      <w:r w:rsidRPr="005E32F5">
        <w:rPr>
          <w:rFonts w:ascii="Times New Roman" w:hAnsi="Times New Roman" w:cs="Times New Roman"/>
        </w:rPr>
        <w:t>six OTUs</w:t>
      </w:r>
      <w:r w:rsidR="00246351">
        <w:rPr>
          <w:rFonts w:ascii="Times New Roman" w:hAnsi="Times New Roman" w:cs="Times New Roman"/>
        </w:rPr>
        <w:t xml:space="preserve"> (</w:t>
      </w:r>
      <w:r w:rsidR="00246351" w:rsidRPr="00246351">
        <w:rPr>
          <w:rFonts w:ascii="Times New Roman" w:hAnsi="Times New Roman" w:cs="Times New Roman"/>
          <w:b/>
          <w:bCs/>
        </w:rPr>
        <w:t xml:space="preserve">Figs. </w:t>
      </w:r>
      <w:r w:rsidR="00ED75ED">
        <w:rPr>
          <w:rFonts w:ascii="Times New Roman" w:hAnsi="Times New Roman" w:cs="Times New Roman"/>
          <w:b/>
          <w:bCs/>
        </w:rPr>
        <w:t>A11-A12</w:t>
      </w:r>
      <w:r w:rsidR="00246351">
        <w:rPr>
          <w:rFonts w:ascii="Times New Roman" w:hAnsi="Times New Roman" w:cs="Times New Roman"/>
        </w:rPr>
        <w:t>)</w:t>
      </w:r>
      <w:r w:rsidRPr="005E32F5">
        <w:rPr>
          <w:rFonts w:ascii="Times New Roman" w:hAnsi="Times New Roman" w:cs="Times New Roman"/>
        </w:rPr>
        <w:t xml:space="preserve">. </w:t>
      </w:r>
    </w:p>
    <w:p w14:paraId="310026BD" w14:textId="490E907B" w:rsidR="002F0DCF" w:rsidRDefault="002F0DCF" w:rsidP="005C70DD">
      <w:pPr>
        <w:spacing w:line="360" w:lineRule="auto"/>
        <w:rPr>
          <w:rFonts w:ascii="Times New Roman" w:hAnsi="Times New Roman" w:cs="Times New Roman"/>
        </w:rPr>
      </w:pPr>
      <w:r w:rsidRPr="005E32F5">
        <w:rPr>
          <w:rFonts w:ascii="Times New Roman" w:hAnsi="Times New Roman" w:cs="Times New Roman"/>
        </w:rPr>
        <w:tab/>
        <w:t xml:space="preserve">Twelve out of 164 OTUs (7%) were shared common core taxa across all four seasons. Seventeen OTUs were members of the common core across three seasons, while an additional 26 were members in two seasons. Taxa detected on 80% of individuals across all four sampling seasons had an average relative abundance of 0.084 (min: 0.03, max: 0.16). Of the twelve OTUs, only the family </w:t>
      </w:r>
      <w:proofErr w:type="spellStart"/>
      <w:r w:rsidRPr="005E32F5">
        <w:rPr>
          <w:rFonts w:ascii="Times New Roman" w:hAnsi="Times New Roman" w:cs="Times New Roman"/>
        </w:rPr>
        <w:t>Sphingomonadaceae</w:t>
      </w:r>
      <w:proofErr w:type="spellEnd"/>
      <w:r w:rsidRPr="005E32F5">
        <w:rPr>
          <w:rFonts w:ascii="Times New Roman" w:hAnsi="Times New Roman" w:cs="Times New Roman"/>
        </w:rPr>
        <w:t xml:space="preserve"> had three members, while the remaining nine families had one. One OTU was unidentified and result from </w:t>
      </w:r>
      <w:proofErr w:type="spellStart"/>
      <w:r w:rsidRPr="005E32F5">
        <w:rPr>
          <w:rFonts w:ascii="Times New Roman" w:hAnsi="Times New Roman" w:cs="Times New Roman"/>
        </w:rPr>
        <w:t>BLASTn</w:t>
      </w:r>
      <w:proofErr w:type="spellEnd"/>
      <w:r w:rsidRPr="005E32F5">
        <w:rPr>
          <w:rFonts w:ascii="Times New Roman" w:hAnsi="Times New Roman" w:cs="Times New Roman"/>
        </w:rPr>
        <w:t xml:space="preserv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{"citationID":"WMSOM1Kl","properties":{"formattedCitation":"(Camacho et al., 2009)","plainCitation":"(Camacho et al., 2009)","noteIndex":0},"citationItems":[{"id":1809,"uris":["http://zotero.org/users/6401767/items/S9MDN37W"],"itemData":{"id":1809,"type":"article-journal","abstract":"BACKGROUND: Sequence similarity searching is a very important bioinformatics task. While Basic Local Alignment Search Tool (BLAST) outperforms exact methods through its use of heuristics, the speed of the current BLAST software is suboptimal for very long queries or database sequences. There are also some shortcomings in the user-interface of the current command-line applications.\nRESULTS: We describe features and improvements of rewritten BLAST software and introduce new command-line applications. Long query sequences are broken into chunks for processing, in some cases leading to dramatically shorter run times. For long database sequences, it is possible to retrieve only the relevant parts of the sequence, reducing CPU time and memory usage for searches of short queries against databases of contigs or chromosomes. The program can now retrieve masking information for database sequences from the BLAST databases. A new modular software library can now access subject sequence data from arbitrary data sources. We introduce several new features, including strategy files that allow a user to save and reuse their favorite set of options. The strategy files can be uploaded to and downloaded from the NCBI BLAST web site.\nCONCLUSION: The new BLAST command-line applications, compared to the current BLAST tools, demonstrate substantial speed improvements for long queries as well as chromosome length database sequences. We have also improved the user interface of the command-line applications.","container-title":"BMC bioinformatics","DOI":"10.1186/1471-2105-10-421","ISSN":"1471-2105","journalAbbreviation":"BMC Bioinformatics","language":"eng","note":"PMID: 20003500\nPMCID: PMC2803857","page":"421","source":"PubMed","title":"BLAST+: architecture and applications","title-short":"BLAST+","volume":"10","author":[{"family":"Camacho","given":"Christiam"},{"family":"Coulouris","given":"George"},{"family":"Avagyan","given":"Vahram"},{"family":"Ma","given":"Ning"},{"family":"Papadopoulos","given":"Jason"},{"family":"Bealer","given":"Kevin"},{"family":"Madden","given":"Thomas L."}],"issued":{"date-parts":[["2009",12,15]]}}}],"schema":"https://github.com/citation-style-language/schema/raw/master/csl-citation.json"}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(Camacho et al., 2009)</w:t>
      </w:r>
      <w:r w:rsidRPr="005E32F5">
        <w:rPr>
          <w:rFonts w:ascii="Times New Roman" w:hAnsi="Times New Roman" w:cs="Times New Roman"/>
        </w:rPr>
        <w:fldChar w:fldCharType="end"/>
      </w:r>
      <w:r w:rsidRPr="005E32F5">
        <w:rPr>
          <w:rFonts w:ascii="Times New Roman" w:hAnsi="Times New Roman" w:cs="Times New Roman"/>
        </w:rPr>
        <w:t xml:space="preserve"> indicated the closest identified sequence (99% similarity) belonged to the genus </w:t>
      </w:r>
      <w:proofErr w:type="spellStart"/>
      <w:r w:rsidRPr="005E32F5">
        <w:rPr>
          <w:rFonts w:ascii="Times New Roman" w:hAnsi="Times New Roman" w:cs="Times New Roman"/>
          <w:i/>
          <w:iCs/>
        </w:rPr>
        <w:t>Devosia</w:t>
      </w:r>
      <w:proofErr w:type="spellEnd"/>
      <w:r w:rsidRPr="005E32F5">
        <w:rPr>
          <w:rFonts w:ascii="Times New Roman" w:hAnsi="Times New Roman" w:cs="Times New Roman"/>
        </w:rPr>
        <w:t xml:space="preserve"> in the family </w:t>
      </w:r>
      <w:proofErr w:type="spellStart"/>
      <w:r w:rsidRPr="005E32F5">
        <w:rPr>
          <w:rFonts w:ascii="Times New Roman" w:hAnsi="Times New Roman" w:cs="Times New Roman"/>
        </w:rPr>
        <w:t>Devosiaceae</w:t>
      </w:r>
      <w:proofErr w:type="spellEnd"/>
      <w:r w:rsidRPr="005E32F5">
        <w:rPr>
          <w:rFonts w:ascii="Times New Roman" w:hAnsi="Times New Roman" w:cs="Times New Roman"/>
        </w:rPr>
        <w:t>. One hundred and nine OTUs were found only in a single season, meaning the majority (66%) of OTUs identified as a common core fluctuated seasonally and were not necessarily persistent on salamander hosts over time and habitats. Mirrored representation on cover objects indicates these taxa are predominately abundant and highly detectible on salamanders due to horizontal transmission from cover objects.</w:t>
      </w:r>
    </w:p>
    <w:p w14:paraId="67C83931" w14:textId="77777777" w:rsidR="004E77C8" w:rsidRPr="005E32F5" w:rsidRDefault="004E77C8" w:rsidP="005C70DD">
      <w:pPr>
        <w:spacing w:line="360" w:lineRule="auto"/>
        <w:rPr>
          <w:rFonts w:ascii="Times New Roman" w:hAnsi="Times New Roman" w:cs="Times New Roman"/>
        </w:rPr>
      </w:pPr>
    </w:p>
    <w:p w14:paraId="6DDAF793" w14:textId="37E1A9EF" w:rsidR="002F0DCF" w:rsidRPr="00491D83" w:rsidRDefault="00590E01" w:rsidP="00D110AF">
      <w:pPr>
        <w:pStyle w:val="Heading3"/>
        <w:rPr>
          <w:rFonts w:ascii="Times New Roman" w:hAnsi="Times New Roman" w:cs="Times New Roman"/>
          <w:b w:val="0"/>
          <w:bCs w:val="0"/>
          <w:i w:val="0"/>
          <w:iCs/>
        </w:rPr>
      </w:pPr>
      <w:bookmarkStart w:id="155" w:name="_Toc165028090"/>
      <w:r w:rsidRPr="00491D83">
        <w:rPr>
          <w:rFonts w:ascii="Times New Roman" w:hAnsi="Times New Roman" w:cs="Times New Roman"/>
          <w:b w:val="0"/>
          <w:bCs w:val="0"/>
          <w:iCs/>
        </w:rPr>
        <w:lastRenderedPageBreak/>
        <w:t>T</w:t>
      </w:r>
      <w:r w:rsidR="00786A7C" w:rsidRPr="00491D83">
        <w:rPr>
          <w:rFonts w:ascii="Times New Roman" w:hAnsi="Times New Roman" w:cs="Times New Roman"/>
          <w:b w:val="0"/>
          <w:bCs w:val="0"/>
          <w:iCs/>
        </w:rPr>
        <w:t xml:space="preserve">emporal </w:t>
      </w:r>
      <w:r w:rsidR="001D63F5" w:rsidRPr="00491D83">
        <w:rPr>
          <w:rFonts w:ascii="Times New Roman" w:hAnsi="Times New Roman" w:cs="Times New Roman"/>
          <w:b w:val="0"/>
          <w:bCs w:val="0"/>
          <w:iCs/>
        </w:rPr>
        <w:t xml:space="preserve">core captures wide-ranging </w:t>
      </w:r>
      <w:proofErr w:type="gramStart"/>
      <w:r w:rsidR="001D63F5" w:rsidRPr="00491D83">
        <w:rPr>
          <w:rFonts w:ascii="Times New Roman" w:hAnsi="Times New Roman" w:cs="Times New Roman"/>
          <w:b w:val="0"/>
          <w:bCs w:val="0"/>
          <w:iCs/>
        </w:rPr>
        <w:t>microbes</w:t>
      </w:r>
      <w:bookmarkEnd w:id="155"/>
      <w:proofErr w:type="gramEnd"/>
    </w:p>
    <w:p w14:paraId="2A6A6090" w14:textId="6B20A88D" w:rsidR="000F0ADC" w:rsidRDefault="002F0DCF" w:rsidP="00FA442E">
      <w:pPr>
        <w:spacing w:line="360" w:lineRule="auto"/>
        <w:rPr>
          <w:rFonts w:ascii="Times New Roman" w:hAnsi="Times New Roman" w:cs="Times New Roman"/>
        </w:rPr>
      </w:pPr>
      <w:r w:rsidRPr="005E32F5">
        <w:rPr>
          <w:rFonts w:ascii="Times New Roman" w:hAnsi="Times New Roman" w:cs="Times New Roman"/>
        </w:rPr>
        <w:tab/>
        <w:t>We defined the temporal core as OTUs detected on 75% (3/4) or more salamanders within a site over the course of one year. For each of our nine sites, the temporal core ranged from 50 to 313 OTUs, comprised of 120 taxonomically identified families, with 546 unique OTUs (3% of total OTUs). Cumulative relative abundance of these OTUs on salamanders within a given site ranged from 0.09 to 0.60, with a mean of 0.33 (</w:t>
      </w:r>
      <w:r w:rsidRPr="005E32F5">
        <w:rPr>
          <w:rFonts w:ascii="Times New Roman" w:hAnsi="Times New Roman" w:cs="Times New Roman"/>
          <w:b/>
          <w:bCs/>
        </w:rPr>
        <w:t xml:space="preserve">Fig. </w:t>
      </w:r>
      <w:r w:rsidR="00D53BF9" w:rsidRPr="005E32F5">
        <w:rPr>
          <w:rFonts w:ascii="Times New Roman" w:hAnsi="Times New Roman" w:cs="Times New Roman"/>
          <w:b/>
          <w:bCs/>
        </w:rPr>
        <w:t>1</w:t>
      </w:r>
      <w:r w:rsidRPr="005E32F5">
        <w:rPr>
          <w:rFonts w:ascii="Times New Roman" w:hAnsi="Times New Roman" w:cs="Times New Roman"/>
          <w:b/>
          <w:bCs/>
        </w:rPr>
        <w:t>5</w:t>
      </w:r>
      <w:r w:rsidRPr="005E32F5">
        <w:rPr>
          <w:rFonts w:ascii="Times New Roman" w:hAnsi="Times New Roman" w:cs="Times New Roman"/>
        </w:rPr>
        <w:t xml:space="preserve">). The same temporal core showed a slightly lower cumulative relative abundance on cover objects (mean 0.27), but a similar distribution (min: 0.06, max 0.55). At each site, the top 100 most abundant OTUs on </w:t>
      </w:r>
    </w:p>
    <w:p w14:paraId="7A6307A2" w14:textId="7E4EBE4B" w:rsidR="008F5313" w:rsidRPr="005E32F5" w:rsidRDefault="008F5313" w:rsidP="008F5313">
      <w:pPr>
        <w:spacing w:line="360" w:lineRule="auto"/>
        <w:rPr>
          <w:rFonts w:ascii="Times New Roman" w:hAnsi="Times New Roman" w:cs="Times New Roman"/>
        </w:rPr>
      </w:pPr>
      <w:r w:rsidRPr="005E32F5">
        <w:rPr>
          <w:rFonts w:ascii="Times New Roman" w:hAnsi="Times New Roman" w:cs="Times New Roman"/>
        </w:rPr>
        <w:t>hosts over the course of the year were comprised of anywhere between 30 and 89 of our temporal core members. Ten families were responsible for an average of 0.25 relative abundance on salamanders across all sites (</w:t>
      </w:r>
      <w:r w:rsidRPr="00246351">
        <w:rPr>
          <w:rFonts w:ascii="Times New Roman" w:hAnsi="Times New Roman" w:cs="Times New Roman"/>
          <w:b/>
          <w:bCs/>
        </w:rPr>
        <w:t xml:space="preserve">Fig. </w:t>
      </w:r>
      <w:r w:rsidR="004A6F19">
        <w:rPr>
          <w:rFonts w:ascii="Times New Roman" w:hAnsi="Times New Roman" w:cs="Times New Roman"/>
          <w:b/>
          <w:bCs/>
        </w:rPr>
        <w:t>A</w:t>
      </w:r>
      <w:r w:rsidR="00C667FE">
        <w:rPr>
          <w:rFonts w:ascii="Times New Roman" w:hAnsi="Times New Roman" w:cs="Times New Roman"/>
          <w:b/>
          <w:bCs/>
        </w:rPr>
        <w:t>13</w:t>
      </w:r>
      <w:r w:rsidRPr="005E32F5">
        <w:rPr>
          <w:rFonts w:ascii="Times New Roman" w:hAnsi="Times New Roman" w:cs="Times New Roman"/>
        </w:rPr>
        <w:t xml:space="preserve">). </w:t>
      </w:r>
    </w:p>
    <w:p w14:paraId="4428D5BA" w14:textId="77777777" w:rsidR="008F5313" w:rsidRDefault="008F5313" w:rsidP="008F5313">
      <w:pPr>
        <w:spacing w:line="360" w:lineRule="auto"/>
        <w:ind w:firstLine="720"/>
        <w:rPr>
          <w:rFonts w:ascii="Times New Roman" w:hAnsi="Times New Roman" w:cs="Times New Roman"/>
        </w:rPr>
      </w:pPr>
      <w:r w:rsidRPr="005E32F5">
        <w:rPr>
          <w:rFonts w:ascii="Times New Roman" w:hAnsi="Times New Roman" w:cs="Times New Roman"/>
        </w:rPr>
        <w:t xml:space="preserve">Only twelve out of the 546 OTUs were shared on salamanders across all sites. These twelve taxa comprised an average relative abundance of 0.07 on salamanders and 0.05 in </w:t>
      </w:r>
      <w:proofErr w:type="gramStart"/>
      <w:r w:rsidRPr="005E32F5">
        <w:rPr>
          <w:rFonts w:ascii="Times New Roman" w:hAnsi="Times New Roman" w:cs="Times New Roman"/>
        </w:rPr>
        <w:t>cover</w:t>
      </w:r>
      <w:proofErr w:type="gramEnd"/>
      <w:r>
        <w:rPr>
          <w:rFonts w:ascii="Times New Roman" w:hAnsi="Times New Roman" w:cs="Times New Roman"/>
        </w:rPr>
        <w:t xml:space="preserve"> </w:t>
      </w:r>
    </w:p>
    <w:p w14:paraId="40679F52" w14:textId="23ED7EF4" w:rsidR="00FA442E" w:rsidRDefault="002F0DCF" w:rsidP="000F0ADC">
      <w:pPr>
        <w:spacing w:line="360" w:lineRule="auto"/>
        <w:rPr>
          <w:rFonts w:ascii="Times New Roman" w:hAnsi="Times New Roman" w:cs="Times New Roman"/>
        </w:rPr>
      </w:pPr>
      <w:r w:rsidRPr="005E32F5">
        <w:rPr>
          <w:rFonts w:ascii="Times New Roman" w:hAnsi="Times New Roman" w:cs="Times New Roman"/>
        </w:rPr>
        <w:t xml:space="preserve">objects. Nine of these taxa were also members of the 12 OTUs detected across all four seasons in the common core. These nine taxa came from seven different taxonomic families, with </w:t>
      </w:r>
      <w:proofErr w:type="spellStart"/>
      <w:r w:rsidRPr="005E32F5">
        <w:rPr>
          <w:rFonts w:ascii="Times New Roman" w:hAnsi="Times New Roman" w:cs="Times New Roman"/>
        </w:rPr>
        <w:t>Sphingomonadaceae</w:t>
      </w:r>
      <w:proofErr w:type="spellEnd"/>
      <w:r w:rsidRPr="005E32F5">
        <w:rPr>
          <w:rFonts w:ascii="Times New Roman" w:hAnsi="Times New Roman" w:cs="Times New Roman"/>
        </w:rPr>
        <w:t xml:space="preserve"> containing 3 OTUs and a single representative from </w:t>
      </w:r>
      <w:proofErr w:type="spellStart"/>
      <w:r w:rsidRPr="005E32F5">
        <w:rPr>
          <w:rFonts w:ascii="Times New Roman" w:hAnsi="Times New Roman" w:cs="Times New Roman"/>
        </w:rPr>
        <w:t>Rizobiaceae</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Chitinophagaceae</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Microbacteriaceae</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rPr>
        <w:t>Xanthobacteraceae</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Xanthomonadaceae</w:t>
      </w:r>
      <w:proofErr w:type="spellEnd"/>
      <w:r w:rsidRPr="005E32F5">
        <w:rPr>
          <w:rFonts w:ascii="Times New Roman" w:hAnsi="Times New Roman" w:cs="Times New Roman"/>
        </w:rPr>
        <w:t xml:space="preserve">, and </w:t>
      </w:r>
      <w:proofErr w:type="spellStart"/>
      <w:r w:rsidRPr="005E32F5">
        <w:rPr>
          <w:rFonts w:ascii="Times New Roman" w:hAnsi="Times New Roman" w:cs="Times New Roman"/>
        </w:rPr>
        <w:t>Devosiaceae</w:t>
      </w:r>
      <w:proofErr w:type="spellEnd"/>
      <w:r w:rsidRPr="005E32F5">
        <w:rPr>
          <w:rFonts w:ascii="Times New Roman" w:hAnsi="Times New Roman" w:cs="Times New Roman"/>
        </w:rPr>
        <w:t xml:space="preserve">. An additional 13 OTUs were determined to be in the temporal core for 8 sites, while seven and six sites each had 20 OTUs. Two hundred and fifty-three OTUs (46%) were </w:t>
      </w:r>
      <w:r w:rsidR="005966F4" w:rsidRPr="005E32F5">
        <w:rPr>
          <w:rFonts w:ascii="Times New Roman" w:hAnsi="Times New Roman" w:cs="Times New Roman"/>
        </w:rPr>
        <w:t>only found in a single site, while 105 OTUs were shared only between two sites, highlighting the role of geographic location on host-associated communities in detection-based assessment. The virtually matched relative abundance on cover objects likely indicates most temporal core members possess widespread distribution within a site with, in most cases, less evidence for subsistence on amphibians.</w:t>
      </w:r>
    </w:p>
    <w:p w14:paraId="3DA69C76" w14:textId="77777777" w:rsidR="004E77C8" w:rsidRPr="00491D83" w:rsidRDefault="004E77C8" w:rsidP="004E77C8">
      <w:pPr>
        <w:pStyle w:val="Heading3"/>
        <w:rPr>
          <w:rFonts w:ascii="Times New Roman" w:hAnsi="Times New Roman" w:cs="Times New Roman"/>
          <w:b w:val="0"/>
          <w:bCs w:val="0"/>
          <w:i w:val="0"/>
          <w:iCs/>
        </w:rPr>
      </w:pPr>
      <w:bookmarkStart w:id="156" w:name="_Toc165028091"/>
      <w:r w:rsidRPr="00491D83">
        <w:rPr>
          <w:rFonts w:ascii="Times New Roman" w:hAnsi="Times New Roman" w:cs="Times New Roman"/>
          <w:b w:val="0"/>
          <w:bCs w:val="0"/>
          <w:iCs/>
        </w:rPr>
        <w:t>Anti-Bd taxa more represented in terrestrial hosts and habitats</w:t>
      </w:r>
      <w:bookmarkEnd w:id="156"/>
    </w:p>
    <w:p w14:paraId="2BF06A7E" w14:textId="5B7ABBD5" w:rsidR="004E77C8" w:rsidRDefault="004E77C8" w:rsidP="004E77C8">
      <w:pPr>
        <w:spacing w:line="360" w:lineRule="auto"/>
        <w:rPr>
          <w:rFonts w:ascii="Times New Roman" w:hAnsi="Times New Roman" w:cs="Times New Roman"/>
        </w:rPr>
      </w:pPr>
      <w:r w:rsidRPr="005E32F5">
        <w:rPr>
          <w:rFonts w:ascii="Times New Roman" w:hAnsi="Times New Roman" w:cs="Times New Roman"/>
        </w:rPr>
        <w:t xml:space="preserve">The defense functional core was identified by pairing reference sequences of our dataset to the database of 16S sequences from isolates capable of producing anti-Bd metabolites in challenge assays </w:t>
      </w:r>
      <w:r w:rsidRPr="005E32F5">
        <w:rPr>
          <w:rFonts w:ascii="Times New Roman" w:hAnsi="Times New Roman" w:cs="Times New Roman"/>
        </w:rPr>
        <w:fldChar w:fldCharType="begin"/>
      </w:r>
      <w:r>
        <w:rPr>
          <w:rFonts w:ascii="Times New Roman" w:hAnsi="Times New Roman" w:cs="Times New Roman"/>
        </w:rPr>
        <w:instrText xml:space="preserve"> ADDIN ZOTERO_ITEM CSL_CITATION {"citationID":"Qv86KNir","properties":{"formattedCitation":"(Woodhams et al., 2015)","plainCitation":"(Woodhams et al., 2015)","noteIndex":0},"citationItems":[{"id":97,"uris":["http://zotero.org/users/6401767/items/3YUD6CVJ"],"itemData":{"id":97,"type":"article-journal","abstract":"Microbial symbionts of vertebrate skin have an important function in defense of the host against pathogens. In particular, the emerging chytrid fungus Batrachochytrium dendrobatidis, causes widespread disease in amphibians but can be inhibited via secondary metabolites produced by many different skin-associated bacteria. Similarly, the fungal pathogens of terrestrial salamander eggs Mariannaea elegans and Rhizomucor variabilis are also inhibited by a variety of skin-associated bacteria. Indeed, probiotic therapy against fungal diseases is a recent approach in conservation medicine with growing experimental support. We present a comprehensive Antifungal Isolates Database of amphibian skin-associated bacteria that have been cultured, isolated, and tested for antifungal properties. At the start, this database includes nearly 2000 cultured bacterial isolates from 37 amphibian host species across 18 studies on five continents: Africa, Oceania, Europe, and North and South America. As the research community gathers information on additional isolates, the database will be updated periodically. The resulting database can serve as a conservation tool for amphibians and other organisms, and provides empirical data for comparative and bioinformatic studies. The database consists of a FASTA file containing 16S rRNA gene sequences of the bacterial isolates, and a metadata file containing information on the host species, life-stage, geographic region, and antifungal capacity and taxonomic identity of the isolate.","container-title":"Ecology","DOI":"10.1890/14-1837.1","ISSN":"1939-9170","issue":"2","language":"en","note":"_eprint: https://onlinelibrary.wiley.com/doi/pdf/10.1890/14-1837.1","page":"595-595","source":"Wiley Online Library","title":"Antifungal isolates database of amphibian skin-associated bacteria and function against emerging fungal pathogens","volume":"96","author":[{"family":"Woodhams","given":"Douglas C."},{"family":"Alford","given":"Ross A."},{"family":"Antwis","given":"Rachael E."},{"family":"Archer","given":"Holly"},{"family":"Becker","given":"Matthew H."},{"family":"Belden","given":"Lisa K."},{"family":"Bell","given":"Sara C."},{"family":"Bletz","given":"Molly"},{"family":"Daskin","given":"Joshua H."},{"family":"Davis","given":"Leyla R."},{"family":"Flechas","given":"Sandra V."},{"family":"Lauer","given":"Antje"},{"family":"Gonzalez","given":"Antonio"},{"family":"Harris","given":"Reid N."},{"family":"Holden","given":"Whitney M."},{"family":"Hughey","given":"Myra C."},{"family":"Ibáñez","given":"Roberto"},{"family":"Knight","given":"Rob"},{"family":"Kueneman","given":"Jordan"},{"family":"Rabemananjara","given":"Falitiana"},{"family":"Reinert","given":"Laura K."},{"family":"Rollins-Smith","given":"Louise A."},{"family":"Roman-Rodriguez","given":"Franklin"},{"family":"Shaw","given":"Stephanie D."},{"family":"Walke","given":"Jenifer B."},{"family":"McKenzie","given":"Valerie"}],"issued":{"date-parts":[["2015"]]}}}],"schema":"https://github.com/citation-style-language/schema/raw/master/csl-citation.json"} </w:instrText>
      </w:r>
      <w:r w:rsidRPr="005E32F5">
        <w:rPr>
          <w:rFonts w:ascii="Times New Roman" w:hAnsi="Times New Roman" w:cs="Times New Roman"/>
        </w:rPr>
        <w:fldChar w:fldCharType="separate"/>
      </w:r>
      <w:r>
        <w:rPr>
          <w:rFonts w:ascii="Times New Roman" w:hAnsi="Times New Roman" w:cs="Times New Roman"/>
          <w:noProof/>
        </w:rPr>
        <w:t>(Woodhams et al., 2015)</w:t>
      </w:r>
      <w:r w:rsidRPr="005E32F5">
        <w:rPr>
          <w:rFonts w:ascii="Times New Roman" w:hAnsi="Times New Roman" w:cs="Times New Roman"/>
        </w:rPr>
        <w:fldChar w:fldCharType="end"/>
      </w:r>
      <w:r w:rsidRPr="005E32F5">
        <w:rPr>
          <w:rFonts w:ascii="Times New Roman" w:hAnsi="Times New Roman" w:cs="Times New Roman"/>
        </w:rPr>
        <w:t>. We allowed up to a 3 base-pair mismatch of our</w:t>
      </w:r>
      <w:r>
        <w:rPr>
          <w:rFonts w:ascii="Times New Roman" w:hAnsi="Times New Roman" w:cs="Times New Roman"/>
        </w:rPr>
        <w:t xml:space="preserve"> </w:t>
      </w:r>
      <w:r w:rsidRPr="005E32F5">
        <w:rPr>
          <w:rFonts w:ascii="Times New Roman" w:hAnsi="Times New Roman" w:cs="Times New Roman"/>
        </w:rPr>
        <w:t xml:space="preserve">sequences, which had an average length of 417 nucleotides, meaning our threshold selected sequences higher than a 99% sequence similarity to the database. This resulted in 38 </w:t>
      </w:r>
      <w:r>
        <w:rPr>
          <w:rFonts w:ascii="Times New Roman" w:hAnsi="Times New Roman" w:cs="Times New Roman"/>
        </w:rPr>
        <w:t xml:space="preserve">OUT </w:t>
      </w:r>
      <w:proofErr w:type="gramStart"/>
      <w:r>
        <w:rPr>
          <w:rFonts w:ascii="Times New Roman" w:hAnsi="Times New Roman" w:cs="Times New Roman"/>
        </w:rPr>
        <w:t>reference</w:t>
      </w:r>
      <w:proofErr w:type="gramEnd"/>
    </w:p>
    <w:p w14:paraId="692C17C0" w14:textId="7D967AD0" w:rsidR="00FA442E" w:rsidRDefault="000B341F">
      <w:pPr>
        <w:rPr>
          <w:rFonts w:ascii="Times New Roman" w:hAnsi="Times New Roman" w:cs="Times New Roman"/>
        </w:rPr>
      </w:pPr>
      <w:r>
        <w:rPr>
          <w:noProof/>
        </w:rPr>
        <w:lastRenderedPageBreak/>
        <mc:AlternateContent>
          <mc:Choice Requires="wps">
            <w:drawing>
              <wp:anchor distT="0" distB="0" distL="114300" distR="114300" simplePos="0" relativeHeight="251765760" behindDoc="1" locked="0" layoutInCell="1" allowOverlap="1" wp14:anchorId="66223EA6" wp14:editId="2693E83E">
                <wp:simplePos x="0" y="0"/>
                <wp:positionH relativeFrom="column">
                  <wp:posOffset>0</wp:posOffset>
                </wp:positionH>
                <wp:positionV relativeFrom="paragraph">
                  <wp:posOffset>4490445</wp:posOffset>
                </wp:positionV>
                <wp:extent cx="5943600" cy="635"/>
                <wp:effectExtent l="0" t="0" r="0" b="12065"/>
                <wp:wrapTight wrapText="bothSides">
                  <wp:wrapPolygon edited="0">
                    <wp:start x="0" y="0"/>
                    <wp:lineTo x="0" y="0"/>
                    <wp:lineTo x="21554" y="0"/>
                    <wp:lineTo x="21554" y="0"/>
                    <wp:lineTo x="0" y="0"/>
                  </wp:wrapPolygon>
                </wp:wrapTight>
                <wp:docPr id="1580701868"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2015DF0" w14:textId="22A1D88F" w:rsidR="00D24CDA" w:rsidRPr="00491D83" w:rsidRDefault="00D24CDA" w:rsidP="00D24CDA">
                            <w:pPr>
                              <w:pStyle w:val="Caption"/>
                              <w:rPr>
                                <w:rFonts w:ascii="Times New Roman" w:hAnsi="Times New Roman" w:cs="Times New Roman"/>
                                <w:b w:val="0"/>
                                <w:bCs w:val="0"/>
                                <w:noProof/>
                              </w:rPr>
                            </w:pPr>
                            <w:bookmarkStart w:id="157" w:name="_Toc164888220"/>
                            <w:bookmarkStart w:id="158" w:name="_Toc164888272"/>
                            <w:bookmarkStart w:id="159" w:name="_Toc164888604"/>
                            <w:bookmarkStart w:id="160" w:name="_Toc164888700"/>
                            <w:bookmarkStart w:id="161" w:name="_Toc164888836"/>
                            <w:bookmarkStart w:id="162" w:name="_Toc165024872"/>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15</w:t>
                            </w:r>
                            <w:r w:rsidRPr="00491D83">
                              <w:rPr>
                                <w:rFonts w:ascii="Times New Roman" w:hAnsi="Times New Roman" w:cs="Times New Roman"/>
                                <w:b w:val="0"/>
                                <w:bCs w:val="0"/>
                              </w:rPr>
                              <w:fldChar w:fldCharType="end"/>
                            </w:r>
                            <w:r w:rsidRPr="00491D83">
                              <w:rPr>
                                <w:rFonts w:ascii="Times New Roman" w:hAnsi="Times New Roman" w:cs="Times New Roman"/>
                                <w:b w:val="0"/>
                                <w:bCs w:val="0"/>
                              </w:rPr>
                              <w:t>: Relative abundance of the temporal core on salamanders and cover objects for each site.</w:t>
                            </w:r>
                            <w:bookmarkEnd w:id="157"/>
                            <w:bookmarkEnd w:id="158"/>
                            <w:bookmarkEnd w:id="159"/>
                            <w:bookmarkEnd w:id="160"/>
                            <w:bookmarkEnd w:id="161"/>
                            <w:bookmarkEnd w:id="1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223EA6" id="_x0000_s1040" type="#_x0000_t202" style="position:absolute;margin-left:0;margin-top:353.6pt;width:468pt;height:.05pt;z-index:-25155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" stroked="f">
                <v:textbox style="mso-fit-shape-to-text:t" inset="0,0,0,0">
                  <w:txbxContent>
                    <w:p w14:paraId="42015DF0" w14:textId="22A1D88F" w:rsidR="00D24CDA" w:rsidRPr="00491D83" w:rsidRDefault="00D24CDA" w:rsidP="00D24CDA">
                      <w:pPr>
                        <w:pStyle w:val="Caption"/>
                        <w:rPr>
                          <w:rFonts w:ascii="Times New Roman" w:hAnsi="Times New Roman" w:cs="Times New Roman"/>
                          <w:b w:val="0"/>
                          <w:bCs w:val="0"/>
                          <w:noProof/>
                        </w:rPr>
                      </w:pPr>
                      <w:bookmarkStart w:id="163" w:name="_Toc164888220"/>
                      <w:bookmarkStart w:id="164" w:name="_Toc164888272"/>
                      <w:bookmarkStart w:id="165" w:name="_Toc164888604"/>
                      <w:bookmarkStart w:id="166" w:name="_Toc164888700"/>
                      <w:bookmarkStart w:id="167" w:name="_Toc164888836"/>
                      <w:bookmarkStart w:id="168" w:name="_Toc165024872"/>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15</w:t>
                      </w:r>
                      <w:r w:rsidRPr="00491D83">
                        <w:rPr>
                          <w:rFonts w:ascii="Times New Roman" w:hAnsi="Times New Roman" w:cs="Times New Roman"/>
                          <w:b w:val="0"/>
                          <w:bCs w:val="0"/>
                        </w:rPr>
                        <w:fldChar w:fldCharType="end"/>
                      </w:r>
                      <w:r w:rsidRPr="00491D83">
                        <w:rPr>
                          <w:rFonts w:ascii="Times New Roman" w:hAnsi="Times New Roman" w:cs="Times New Roman"/>
                          <w:b w:val="0"/>
                          <w:bCs w:val="0"/>
                        </w:rPr>
                        <w:t>: Relative abundance of the temporal core on salamanders and cover objects for each site.</w:t>
                      </w:r>
                      <w:bookmarkEnd w:id="163"/>
                      <w:bookmarkEnd w:id="164"/>
                      <w:bookmarkEnd w:id="165"/>
                      <w:bookmarkEnd w:id="166"/>
                      <w:bookmarkEnd w:id="167"/>
                      <w:bookmarkEnd w:id="168"/>
                    </w:p>
                  </w:txbxContent>
                </v:textbox>
                <w10:wrap type="tight"/>
              </v:shape>
            </w:pict>
          </mc:Fallback>
        </mc:AlternateContent>
      </w:r>
      <w:r w:rsidRPr="00D82873">
        <w:rPr>
          <w:rFonts w:ascii="Times New Roman" w:hAnsi="Times New Roman" w:cs="Times New Roman"/>
          <w:noProof/>
        </w:rPr>
        <w:drawing>
          <wp:anchor distT="0" distB="0" distL="114300" distR="114300" simplePos="0" relativeHeight="251763712" behindDoc="1" locked="0" layoutInCell="1" allowOverlap="1" wp14:anchorId="42150FA1" wp14:editId="22C681E3">
            <wp:simplePos x="0" y="0"/>
            <wp:positionH relativeFrom="column">
              <wp:posOffset>0</wp:posOffset>
            </wp:positionH>
            <wp:positionV relativeFrom="paragraph">
              <wp:posOffset>0</wp:posOffset>
            </wp:positionV>
            <wp:extent cx="5943600" cy="4457700"/>
            <wp:effectExtent l="0" t="0" r="0" b="0"/>
            <wp:wrapTight wrapText="bothSides">
              <wp:wrapPolygon edited="0">
                <wp:start x="1938" y="123"/>
                <wp:lineTo x="1108" y="800"/>
                <wp:lineTo x="969" y="985"/>
                <wp:lineTo x="1015" y="1231"/>
                <wp:lineTo x="1892" y="2215"/>
                <wp:lineTo x="1938" y="3200"/>
                <wp:lineTo x="1015" y="3323"/>
                <wp:lineTo x="1015" y="3815"/>
                <wp:lineTo x="1938" y="4185"/>
                <wp:lineTo x="1938" y="5169"/>
                <wp:lineTo x="415" y="5538"/>
                <wp:lineTo x="231" y="5662"/>
                <wp:lineTo x="138" y="8923"/>
                <wp:lineTo x="415" y="9292"/>
                <wp:lineTo x="138" y="9477"/>
                <wp:lineTo x="185" y="11754"/>
                <wp:lineTo x="738" y="12062"/>
                <wp:lineTo x="1938" y="12062"/>
                <wp:lineTo x="1938" y="13046"/>
                <wp:lineTo x="1015" y="13538"/>
                <wp:lineTo x="1015" y="14031"/>
                <wp:lineTo x="1938" y="14031"/>
                <wp:lineTo x="1938" y="16000"/>
                <wp:lineTo x="1015" y="16062"/>
                <wp:lineTo x="1015" y="16492"/>
                <wp:lineTo x="1938" y="16985"/>
                <wp:lineTo x="1938" y="17046"/>
                <wp:lineTo x="3185" y="18031"/>
                <wp:lineTo x="11262" y="18954"/>
                <wp:lineTo x="10892" y="19692"/>
                <wp:lineTo x="10800" y="19938"/>
                <wp:lineTo x="8262" y="20185"/>
                <wp:lineTo x="8308" y="20923"/>
                <wp:lineTo x="14492" y="21046"/>
                <wp:lineTo x="14677" y="21046"/>
                <wp:lineTo x="15415" y="20862"/>
                <wp:lineTo x="15277" y="20308"/>
                <wp:lineTo x="10800" y="19938"/>
                <wp:lineTo x="11077" y="19938"/>
                <wp:lineTo x="12231" y="19138"/>
                <wp:lineTo x="13015" y="18954"/>
                <wp:lineTo x="20262" y="18092"/>
                <wp:lineTo x="20308" y="17969"/>
                <wp:lineTo x="21462" y="17046"/>
                <wp:lineTo x="21554" y="16246"/>
                <wp:lineTo x="21323" y="16185"/>
                <wp:lineTo x="19154" y="16000"/>
                <wp:lineTo x="19246" y="15077"/>
                <wp:lineTo x="20677" y="14954"/>
                <wp:lineTo x="20585" y="14031"/>
                <wp:lineTo x="21323" y="13969"/>
                <wp:lineTo x="21415" y="13723"/>
                <wp:lineTo x="20954" y="13046"/>
                <wp:lineTo x="21000" y="12369"/>
                <wp:lineTo x="20815" y="12123"/>
                <wp:lineTo x="20169" y="12062"/>
                <wp:lineTo x="21415" y="11262"/>
                <wp:lineTo x="21415" y="11077"/>
                <wp:lineTo x="20215" y="11077"/>
                <wp:lineTo x="20123" y="10769"/>
                <wp:lineTo x="19800" y="10092"/>
                <wp:lineTo x="19846" y="9846"/>
                <wp:lineTo x="19708" y="9600"/>
                <wp:lineTo x="19154" y="9108"/>
                <wp:lineTo x="21415" y="8677"/>
                <wp:lineTo x="21369" y="8554"/>
                <wp:lineTo x="18508" y="8123"/>
                <wp:lineTo x="19062" y="8123"/>
                <wp:lineTo x="19200" y="7877"/>
                <wp:lineTo x="19200" y="7138"/>
                <wp:lineTo x="21415" y="6154"/>
                <wp:lineTo x="21508" y="5662"/>
                <wp:lineTo x="18923" y="5231"/>
                <wp:lineTo x="19246" y="5046"/>
                <wp:lineTo x="19154" y="4185"/>
                <wp:lineTo x="21415" y="3631"/>
                <wp:lineTo x="21415" y="3508"/>
                <wp:lineTo x="19154" y="3200"/>
                <wp:lineTo x="19154" y="1231"/>
                <wp:lineTo x="21462" y="1108"/>
                <wp:lineTo x="20723" y="246"/>
                <wp:lineTo x="2169" y="123"/>
                <wp:lineTo x="1938" y="123"/>
              </wp:wrapPolygon>
            </wp:wrapTight>
            <wp:docPr id="1794322629" name="Picture 5">
              <a:extLst xmlns:a="http://schemas.openxmlformats.org/drawingml/2006/main">
                <a:ext uri="{FF2B5EF4-FFF2-40B4-BE49-F238E27FC236}">
                  <a16:creationId xmlns:a16="http://schemas.microsoft.com/office/drawing/2014/main" id="{2B78B6C2-0BD2-F32D-8115-03DCB13DD8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B78B6C2-0BD2-F32D-8115-03DCB13DD8EB}"/>
                        </a:ext>
                      </a:extLst>
                    </pic:cNvPr>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14:sizeRelH relativeFrom="page">
              <wp14:pctWidth>0</wp14:pctWidth>
            </wp14:sizeRelH>
            <wp14:sizeRelV relativeFrom="page">
              <wp14:pctHeight>0</wp14:pctHeight>
            </wp14:sizeRelV>
          </wp:anchor>
        </w:drawing>
      </w:r>
      <w:r w:rsidR="00FA442E">
        <w:rPr>
          <w:rFonts w:ascii="Times New Roman" w:hAnsi="Times New Roman" w:cs="Times New Roman"/>
        </w:rPr>
        <w:br w:type="page"/>
      </w:r>
    </w:p>
    <w:p w14:paraId="7DE1D501" w14:textId="0E84CD66" w:rsidR="007B22B1" w:rsidRDefault="000F0ADC" w:rsidP="004E77C8">
      <w:pPr>
        <w:spacing w:line="360" w:lineRule="auto"/>
        <w:rPr>
          <w:rFonts w:ascii="Times New Roman" w:hAnsi="Times New Roman" w:cs="Times New Roman"/>
        </w:rPr>
      </w:pPr>
      <w:r w:rsidRPr="005E32F5">
        <w:rPr>
          <w:rFonts w:ascii="Times New Roman" w:hAnsi="Times New Roman" w:cs="Times New Roman"/>
        </w:rPr>
        <w:lastRenderedPageBreak/>
        <w:t>sequence matches to 153 16S sequences in the database. Across 100 rarefactions, these OTUs averaged a collective 0.05 relative abundance on salamanders (min: 0.004, max: 0.23), and only 0.01 relative abundance in cover objects (min: 0, max: 0.20), signifying a potential high fidelity for functionally important taxa on salamander hosts. OTUs identified with anti-Bd capabilities were more prevalent and abundant in terrestrial habitats for both salamanders and cover objects. In other words, seasons where salamanders utilized a terrestrial habitat (Summer and Fall for 7/9 sites), were associated with a higher proportion of anti-fungal capable OTUs (</w:t>
      </w:r>
      <w:r w:rsidRPr="005E32F5">
        <w:rPr>
          <w:rFonts w:ascii="Times New Roman" w:hAnsi="Times New Roman" w:cs="Times New Roman"/>
          <w:b/>
          <w:bCs/>
        </w:rPr>
        <w:t xml:space="preserve">Fig. </w:t>
      </w:r>
      <w:r w:rsidR="0040724B">
        <w:rPr>
          <w:rFonts w:ascii="Times New Roman" w:hAnsi="Times New Roman" w:cs="Times New Roman"/>
          <w:b/>
          <w:bCs/>
        </w:rPr>
        <w:t>1</w:t>
      </w:r>
      <w:r w:rsidRPr="005E32F5">
        <w:rPr>
          <w:rFonts w:ascii="Times New Roman" w:hAnsi="Times New Roman" w:cs="Times New Roman"/>
          <w:b/>
          <w:bCs/>
        </w:rPr>
        <w:t>6</w:t>
      </w:r>
      <w:r w:rsidRPr="005E32F5">
        <w:rPr>
          <w:rFonts w:ascii="Times New Roman" w:hAnsi="Times New Roman" w:cs="Times New Roman"/>
        </w:rPr>
        <w:t xml:space="preserve">). While these OTUs were less </w:t>
      </w:r>
      <w:r w:rsidR="00FA442E" w:rsidRPr="005E32F5">
        <w:rPr>
          <w:rFonts w:ascii="Times New Roman" w:hAnsi="Times New Roman" w:cs="Times New Roman"/>
        </w:rPr>
        <w:t xml:space="preserve">abundant in aquatic habitats, </w:t>
      </w:r>
      <w:r w:rsidR="001D63F5">
        <w:rPr>
          <w:rFonts w:ascii="Times New Roman" w:hAnsi="Times New Roman" w:cs="Times New Roman"/>
        </w:rPr>
        <w:t>some</w:t>
      </w:r>
      <w:r w:rsidR="00FA442E" w:rsidRPr="005E32F5">
        <w:rPr>
          <w:rFonts w:ascii="Times New Roman" w:hAnsi="Times New Roman" w:cs="Times New Roman"/>
        </w:rPr>
        <w:t xml:space="preserve"> persisted on salamanders over the course of the sampling seasons.</w:t>
      </w:r>
    </w:p>
    <w:p w14:paraId="12A4C886" w14:textId="2E07D778" w:rsidR="00FA442E" w:rsidRPr="005E32F5" w:rsidRDefault="00FA442E" w:rsidP="00D24CDA">
      <w:pPr>
        <w:spacing w:line="360" w:lineRule="auto"/>
        <w:ind w:firstLine="720"/>
        <w:rPr>
          <w:rFonts w:ascii="Times New Roman" w:hAnsi="Times New Roman" w:cs="Times New Roman"/>
        </w:rPr>
      </w:pPr>
      <w:r w:rsidRPr="005E32F5">
        <w:rPr>
          <w:rFonts w:ascii="Times New Roman" w:hAnsi="Times New Roman" w:cs="Times New Roman"/>
        </w:rPr>
        <w:t xml:space="preserve">Our functional core consisted of </w:t>
      </w:r>
      <w:r>
        <w:rPr>
          <w:rFonts w:ascii="Times New Roman" w:hAnsi="Times New Roman" w:cs="Times New Roman"/>
        </w:rPr>
        <w:t xml:space="preserve">five OTUs belonging to Pseudomonadaceae, four OTUs belonging to </w:t>
      </w:r>
      <w:proofErr w:type="spellStart"/>
      <w:r>
        <w:rPr>
          <w:rFonts w:ascii="Times New Roman" w:hAnsi="Times New Roman" w:cs="Times New Roman"/>
        </w:rPr>
        <w:t>Xanthomonadaceae</w:t>
      </w:r>
      <w:proofErr w:type="spellEnd"/>
      <w:r>
        <w:rPr>
          <w:rFonts w:ascii="Times New Roman" w:hAnsi="Times New Roman" w:cs="Times New Roman"/>
        </w:rPr>
        <w:t xml:space="preserve">, </w:t>
      </w:r>
      <w:proofErr w:type="spellStart"/>
      <w:r>
        <w:rPr>
          <w:rFonts w:ascii="Times New Roman" w:hAnsi="Times New Roman" w:cs="Times New Roman"/>
        </w:rPr>
        <w:t>Flavobacteriaceae</w:t>
      </w:r>
      <w:proofErr w:type="spellEnd"/>
      <w:r>
        <w:rPr>
          <w:rFonts w:ascii="Times New Roman" w:hAnsi="Times New Roman" w:cs="Times New Roman"/>
        </w:rPr>
        <w:t xml:space="preserve">, Enterobacteriaceae, and </w:t>
      </w:r>
      <w:proofErr w:type="spellStart"/>
      <w:r>
        <w:rPr>
          <w:rFonts w:ascii="Times New Roman" w:hAnsi="Times New Roman" w:cs="Times New Roman"/>
        </w:rPr>
        <w:t>Moraxellaceae</w:t>
      </w:r>
      <w:proofErr w:type="spellEnd"/>
      <w:r>
        <w:rPr>
          <w:rFonts w:ascii="Times New Roman" w:hAnsi="Times New Roman" w:cs="Times New Roman"/>
        </w:rPr>
        <w:t xml:space="preserve">, five families with two anti-fungal OTUs, and seven families </w:t>
      </w:r>
      <w:r w:rsidRPr="005E32F5">
        <w:rPr>
          <w:rFonts w:ascii="Times New Roman" w:hAnsi="Times New Roman" w:cs="Times New Roman"/>
        </w:rPr>
        <w:t>represented by a single OTU (</w:t>
      </w:r>
      <w:r w:rsidRPr="00C667FE">
        <w:rPr>
          <w:rFonts w:ascii="Times New Roman" w:hAnsi="Times New Roman" w:cs="Times New Roman"/>
          <w:b/>
          <w:bCs/>
        </w:rPr>
        <w:t>Table A4</w:t>
      </w:r>
      <w:r w:rsidRPr="005E32F5">
        <w:rPr>
          <w:rFonts w:ascii="Times New Roman" w:hAnsi="Times New Roman" w:cs="Times New Roman"/>
        </w:rPr>
        <w:t xml:space="preserve">).  Of the 38 OTUs, three were detected on every salamander and belonged to the genera </w:t>
      </w:r>
      <w:r w:rsidRPr="005E32F5">
        <w:rPr>
          <w:rFonts w:ascii="Times New Roman" w:hAnsi="Times New Roman" w:cs="Times New Roman"/>
          <w:i/>
          <w:iCs/>
        </w:rPr>
        <w:t>Pseudomonas</w:t>
      </w:r>
      <w:r w:rsidRPr="005E32F5">
        <w:rPr>
          <w:rFonts w:ascii="Times New Roman" w:hAnsi="Times New Roman" w:cs="Times New Roman"/>
        </w:rPr>
        <w:t xml:space="preserve">, </w:t>
      </w:r>
      <w:r w:rsidRPr="005E32F5">
        <w:rPr>
          <w:rFonts w:ascii="Times New Roman" w:hAnsi="Times New Roman" w:cs="Times New Roman"/>
          <w:i/>
          <w:iCs/>
        </w:rPr>
        <w:t>Rhizobium</w:t>
      </w:r>
      <w:r w:rsidRPr="005E32F5">
        <w:rPr>
          <w:rFonts w:ascii="Times New Roman" w:hAnsi="Times New Roman" w:cs="Times New Roman"/>
        </w:rPr>
        <w:t xml:space="preserve">, and </w:t>
      </w:r>
      <w:r w:rsidRPr="005E32F5">
        <w:rPr>
          <w:rFonts w:ascii="Times New Roman" w:hAnsi="Times New Roman" w:cs="Times New Roman"/>
          <w:i/>
          <w:iCs/>
        </w:rPr>
        <w:t>Stenotrophomonas</w:t>
      </w:r>
      <w:r w:rsidRPr="005E32F5">
        <w:rPr>
          <w:rFonts w:ascii="Times New Roman" w:hAnsi="Times New Roman" w:cs="Times New Roman"/>
        </w:rPr>
        <w:t xml:space="preserve">. </w:t>
      </w:r>
      <w:proofErr w:type="spellStart"/>
      <w:r w:rsidRPr="005E32F5">
        <w:rPr>
          <w:rFonts w:ascii="Times New Roman" w:hAnsi="Times New Roman" w:cs="Times New Roman"/>
          <w:i/>
          <w:iCs/>
        </w:rPr>
        <w:t>Janthinobacterium</w:t>
      </w:r>
      <w:proofErr w:type="spellEnd"/>
      <w:r w:rsidRPr="005E32F5">
        <w:rPr>
          <w:rFonts w:ascii="Times New Roman" w:hAnsi="Times New Roman" w:cs="Times New Roman"/>
        </w:rPr>
        <w:t xml:space="preserve"> was additionally detected on 85% of salamanders. In total, 11 of 38 (29%) of OTUs were detected on half or more of salamanders, with only four OTUs being detected in only one sample. However, the majority of anti-</w:t>
      </w:r>
      <w:r w:rsidRPr="00C06617">
        <w:rPr>
          <w:rFonts w:ascii="Times New Roman" w:hAnsi="Times New Roman" w:cs="Times New Roman"/>
          <w:i/>
          <w:iCs/>
        </w:rPr>
        <w:t>Bd</w:t>
      </w:r>
      <w:r w:rsidRPr="005E32F5">
        <w:rPr>
          <w:rFonts w:ascii="Times New Roman" w:hAnsi="Times New Roman" w:cs="Times New Roman"/>
        </w:rPr>
        <w:t xml:space="preserve"> OTUs were also consistently detected in cover object samples. Only eight OTUs were not detected in cover object communities and those detected on every salamander were also detected on 22, 26, and 9 cover objects, suggesting that while salamanders could facilitate the maintenance of these symbionts between aquatic and terrestrial habitat transitions, they are not specific to amphibian hosts.</w:t>
      </w:r>
    </w:p>
    <w:p w14:paraId="690929D3" w14:textId="2A27A947" w:rsidR="00915696" w:rsidRPr="00491D83" w:rsidRDefault="007575DD" w:rsidP="00915696">
      <w:pPr>
        <w:pStyle w:val="Heading3"/>
        <w:rPr>
          <w:rFonts w:ascii="Times New Roman" w:hAnsi="Times New Roman" w:cs="Times New Roman"/>
          <w:b w:val="0"/>
          <w:bCs w:val="0"/>
          <w:i w:val="0"/>
          <w:iCs/>
        </w:rPr>
      </w:pPr>
      <w:bookmarkStart w:id="169" w:name="_Toc165028092"/>
      <w:r w:rsidRPr="00491D83">
        <w:rPr>
          <w:rFonts w:ascii="Times New Roman" w:hAnsi="Times New Roman" w:cs="Times New Roman"/>
          <w:b w:val="0"/>
          <w:bCs w:val="0"/>
          <w:iCs/>
        </w:rPr>
        <w:t>Non-random associations uncovered by a h</w:t>
      </w:r>
      <w:r w:rsidR="00915696" w:rsidRPr="00491D83">
        <w:rPr>
          <w:rFonts w:ascii="Times New Roman" w:hAnsi="Times New Roman" w:cs="Times New Roman"/>
          <w:b w:val="0"/>
          <w:bCs w:val="0"/>
          <w:iCs/>
        </w:rPr>
        <w:t>ost-</w:t>
      </w:r>
      <w:r w:rsidR="001D63F5" w:rsidRPr="00491D83">
        <w:rPr>
          <w:rFonts w:ascii="Times New Roman" w:hAnsi="Times New Roman" w:cs="Times New Roman"/>
          <w:b w:val="0"/>
          <w:bCs w:val="0"/>
          <w:iCs/>
        </w:rPr>
        <w:t>a</w:t>
      </w:r>
      <w:r w:rsidR="00915696" w:rsidRPr="00491D83">
        <w:rPr>
          <w:rFonts w:ascii="Times New Roman" w:hAnsi="Times New Roman" w:cs="Times New Roman"/>
          <w:b w:val="0"/>
          <w:bCs w:val="0"/>
          <w:iCs/>
        </w:rPr>
        <w:t xml:space="preserve">ssociated </w:t>
      </w:r>
      <w:proofErr w:type="gramStart"/>
      <w:r w:rsidR="001D63F5" w:rsidRPr="00491D83">
        <w:rPr>
          <w:rFonts w:ascii="Times New Roman" w:hAnsi="Times New Roman" w:cs="Times New Roman"/>
          <w:b w:val="0"/>
          <w:bCs w:val="0"/>
          <w:iCs/>
        </w:rPr>
        <w:t>c</w:t>
      </w:r>
      <w:r w:rsidR="00915696" w:rsidRPr="00491D83">
        <w:rPr>
          <w:rFonts w:ascii="Times New Roman" w:hAnsi="Times New Roman" w:cs="Times New Roman"/>
          <w:b w:val="0"/>
          <w:bCs w:val="0"/>
          <w:iCs/>
        </w:rPr>
        <w:t>ore</w:t>
      </w:r>
      <w:bookmarkEnd w:id="169"/>
      <w:proofErr w:type="gramEnd"/>
      <w:r w:rsidR="001D63F5" w:rsidRPr="00491D83">
        <w:rPr>
          <w:rFonts w:ascii="Times New Roman" w:hAnsi="Times New Roman" w:cs="Times New Roman"/>
          <w:b w:val="0"/>
          <w:bCs w:val="0"/>
          <w:iCs/>
        </w:rPr>
        <w:t xml:space="preserve"> </w:t>
      </w:r>
    </w:p>
    <w:p w14:paraId="58B124C1" w14:textId="2097E209" w:rsidR="0039197A" w:rsidRPr="00915696" w:rsidRDefault="00915696" w:rsidP="00915696">
      <w:pPr>
        <w:spacing w:line="360" w:lineRule="auto"/>
        <w:ind w:firstLine="720"/>
        <w:rPr>
          <w:rFonts w:ascii="Times New Roman" w:hAnsi="Times New Roman" w:cs="Times New Roman"/>
        </w:rPr>
      </w:pPr>
      <w:r w:rsidRPr="005E32F5">
        <w:rPr>
          <w:rFonts w:ascii="Times New Roman" w:hAnsi="Times New Roman" w:cs="Times New Roman"/>
        </w:rPr>
        <w:t>The host-associated core was defined as taxa showing a positive correlation with hosts.</w:t>
      </w:r>
      <w:r>
        <w:rPr>
          <w:rFonts w:ascii="Times New Roman" w:hAnsi="Times New Roman" w:cs="Times New Roman"/>
        </w:rPr>
        <w:t xml:space="preserve"> </w:t>
      </w:r>
      <w:r w:rsidRPr="005E32F5">
        <w:rPr>
          <w:rFonts w:ascii="Times New Roman" w:hAnsi="Times New Roman" w:cs="Times New Roman"/>
        </w:rPr>
        <w:t>We identified OTUs using the ‘</w:t>
      </w:r>
      <w:proofErr w:type="spellStart"/>
      <w:r w:rsidRPr="005E32F5">
        <w:rPr>
          <w:rFonts w:ascii="Times New Roman" w:hAnsi="Times New Roman" w:cs="Times New Roman"/>
        </w:rPr>
        <w:t>strassoc</w:t>
      </w:r>
      <w:proofErr w:type="spellEnd"/>
      <w:r w:rsidRPr="005E32F5">
        <w:rPr>
          <w:rFonts w:ascii="Times New Roman" w:hAnsi="Times New Roman" w:cs="Times New Roman"/>
        </w:rPr>
        <w:t xml:space="preserve">’ function in </w:t>
      </w:r>
      <w:proofErr w:type="spellStart"/>
      <w:r w:rsidRPr="005E32F5">
        <w:rPr>
          <w:rFonts w:ascii="Times New Roman" w:hAnsi="Times New Roman" w:cs="Times New Roman"/>
          <w:i/>
          <w:iCs/>
        </w:rPr>
        <w:t>indicspecies</w:t>
      </w:r>
      <w:proofErr w:type="spellEnd"/>
      <w:r w:rsidRPr="005E32F5">
        <w:rPr>
          <w:rFonts w:ascii="Times New Roman" w:hAnsi="Times New Roman" w:cs="Times New Roman"/>
        </w:rPr>
        <w:t>, and selected OTUs with an</w:t>
      </w:r>
      <w:r w:rsidR="004E77C8">
        <w:rPr>
          <w:rFonts w:ascii="Times New Roman" w:hAnsi="Times New Roman" w:cs="Times New Roman"/>
        </w:rPr>
        <w:t xml:space="preserve"> </w:t>
      </w:r>
      <w:r w:rsidR="004E77C8" w:rsidRPr="005E32F5">
        <w:rPr>
          <w:rFonts w:ascii="Times New Roman" w:hAnsi="Times New Roman" w:cs="Times New Roman"/>
        </w:rPr>
        <w:t xml:space="preserve">average point biserial correlation coefficient higher than 0.3 across 1000 rarefactions. In total, 58 OTUs possessed a </w:t>
      </w:r>
      <w:proofErr w:type="spellStart"/>
      <w:r w:rsidR="004E77C8" w:rsidRPr="005E32F5">
        <w:rPr>
          <w:rFonts w:ascii="Times New Roman" w:hAnsi="Times New Roman" w:cs="Times New Roman"/>
        </w:rPr>
        <w:t>r</w:t>
      </w:r>
      <w:r w:rsidR="004E77C8" w:rsidRPr="005E32F5">
        <w:rPr>
          <w:rFonts w:ascii="Times New Roman" w:hAnsi="Times New Roman" w:cs="Times New Roman"/>
          <w:vertAlign w:val="subscript"/>
        </w:rPr>
        <w:t>pb</w:t>
      </w:r>
      <w:proofErr w:type="spellEnd"/>
      <w:r w:rsidR="004E77C8" w:rsidRPr="005E32F5">
        <w:rPr>
          <w:rFonts w:ascii="Times New Roman" w:hAnsi="Times New Roman" w:cs="Times New Roman"/>
          <w:vertAlign w:val="subscript"/>
        </w:rPr>
        <w:t xml:space="preserve"> </w:t>
      </w:r>
      <w:r w:rsidR="004E77C8" w:rsidRPr="005E32F5">
        <w:rPr>
          <w:rFonts w:ascii="Times New Roman" w:hAnsi="Times New Roman" w:cs="Times New Roman"/>
        </w:rPr>
        <w:t>greater than 0.3. Average cumulative relative abundance of these taxa was 0.10 on salamanders (min: 0.02, max: 0.26) and 0.02 in cover objects (min 0.002, max: 0.10) (</w:t>
      </w:r>
      <w:r w:rsidR="004E77C8" w:rsidRPr="005E32F5">
        <w:rPr>
          <w:rFonts w:ascii="Times New Roman" w:hAnsi="Times New Roman" w:cs="Times New Roman"/>
          <w:b/>
          <w:bCs/>
        </w:rPr>
        <w:t xml:space="preserve">Fig. </w:t>
      </w:r>
      <w:r w:rsidR="004E77C8">
        <w:rPr>
          <w:rFonts w:ascii="Times New Roman" w:hAnsi="Times New Roman" w:cs="Times New Roman"/>
          <w:b/>
          <w:bCs/>
        </w:rPr>
        <w:t>1</w:t>
      </w:r>
      <w:r w:rsidR="004E77C8" w:rsidRPr="005E32F5">
        <w:rPr>
          <w:rFonts w:ascii="Times New Roman" w:hAnsi="Times New Roman" w:cs="Times New Roman"/>
          <w:b/>
          <w:bCs/>
        </w:rPr>
        <w:t>7</w:t>
      </w:r>
      <w:r w:rsidR="004E77C8" w:rsidRPr="005E32F5">
        <w:rPr>
          <w:rFonts w:ascii="Times New Roman" w:hAnsi="Times New Roman" w:cs="Times New Roman"/>
        </w:rPr>
        <w:t xml:space="preserve">). </w:t>
      </w:r>
      <w:proofErr w:type="spellStart"/>
      <w:r w:rsidR="004E77C8" w:rsidRPr="005E32F5">
        <w:rPr>
          <w:rFonts w:ascii="Times New Roman" w:hAnsi="Times New Roman" w:cs="Times New Roman"/>
        </w:rPr>
        <w:t>Beijerinckiaceae</w:t>
      </w:r>
      <w:proofErr w:type="spellEnd"/>
      <w:r w:rsidR="004E77C8" w:rsidRPr="005E32F5">
        <w:rPr>
          <w:rFonts w:ascii="Times New Roman" w:hAnsi="Times New Roman" w:cs="Times New Roman"/>
        </w:rPr>
        <w:t xml:space="preserve"> and </w:t>
      </w:r>
      <w:proofErr w:type="spellStart"/>
      <w:r w:rsidR="004E77C8" w:rsidRPr="005E32F5">
        <w:rPr>
          <w:rFonts w:ascii="Times New Roman" w:hAnsi="Times New Roman" w:cs="Times New Roman"/>
        </w:rPr>
        <w:t>Sphingobacteriaceae</w:t>
      </w:r>
      <w:proofErr w:type="spellEnd"/>
      <w:r w:rsidR="004E77C8" w:rsidRPr="005E32F5">
        <w:rPr>
          <w:rFonts w:ascii="Times New Roman" w:hAnsi="Times New Roman" w:cs="Times New Roman"/>
        </w:rPr>
        <w:t xml:space="preserve"> were the two most prevalent families represented, each containing five OTUs. Of the 58 OTUs, only five were detected on every </w:t>
      </w:r>
      <w:r w:rsidR="00E8292D">
        <w:rPr>
          <w:rFonts w:ascii="Times" w:hAnsi="Times"/>
        </w:rPr>
        <w:br w:type="page"/>
      </w:r>
    </w:p>
    <w:p w14:paraId="22B96F03" w14:textId="3C0D998D" w:rsidR="00FA442E" w:rsidRDefault="00D24CDA" w:rsidP="0039197A">
      <w:pPr>
        <w:pStyle w:val="Caption"/>
        <w:jc w:val="center"/>
        <w:rPr>
          <w:rFonts w:ascii="Times New Roman" w:hAnsi="Times New Roman" w:cs="Times New Roman"/>
        </w:rPr>
      </w:pPr>
      <w:r>
        <w:rPr>
          <w:noProof/>
        </w:rPr>
        <w:lastRenderedPageBreak/>
        <mc:AlternateContent>
          <mc:Choice Requires="wps">
            <w:drawing>
              <wp:anchor distT="0" distB="0" distL="114300" distR="114300" simplePos="0" relativeHeight="251768832" behindDoc="1" locked="0" layoutInCell="1" allowOverlap="1" wp14:anchorId="70C88412" wp14:editId="2833B970">
                <wp:simplePos x="0" y="0"/>
                <wp:positionH relativeFrom="column">
                  <wp:posOffset>194553</wp:posOffset>
                </wp:positionH>
                <wp:positionV relativeFrom="paragraph">
                  <wp:posOffset>4908956</wp:posOffset>
                </wp:positionV>
                <wp:extent cx="5943600" cy="635"/>
                <wp:effectExtent l="0" t="0" r="0" b="12065"/>
                <wp:wrapTight wrapText="bothSides">
                  <wp:wrapPolygon edited="0">
                    <wp:start x="0" y="0"/>
                    <wp:lineTo x="0" y="0"/>
                    <wp:lineTo x="21554" y="0"/>
                    <wp:lineTo x="21554" y="0"/>
                    <wp:lineTo x="0" y="0"/>
                  </wp:wrapPolygon>
                </wp:wrapTight>
                <wp:docPr id="418436811"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346B676" w14:textId="7D93F8A5" w:rsidR="00D24CDA" w:rsidRPr="00491D83" w:rsidRDefault="00D24CDA" w:rsidP="00D24CDA">
                            <w:pPr>
                              <w:pStyle w:val="Caption"/>
                              <w:rPr>
                                <w:rFonts w:ascii="Times New Roman" w:hAnsi="Times New Roman" w:cs="Times New Roman"/>
                                <w:b w:val="0"/>
                                <w:bCs w:val="0"/>
                              </w:rPr>
                            </w:pPr>
                            <w:bookmarkStart w:id="170" w:name="_Toc164888221"/>
                            <w:bookmarkStart w:id="171" w:name="_Toc164888273"/>
                            <w:bookmarkStart w:id="172" w:name="_Toc164888605"/>
                            <w:bookmarkStart w:id="173" w:name="_Toc164888701"/>
                            <w:bookmarkStart w:id="174" w:name="_Toc164888837"/>
                            <w:bookmarkStart w:id="175" w:name="_Toc165024873"/>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16</w:t>
                            </w:r>
                            <w:r w:rsidRPr="00491D83">
                              <w:rPr>
                                <w:rFonts w:ascii="Times New Roman" w:hAnsi="Times New Roman" w:cs="Times New Roman"/>
                                <w:b w:val="0"/>
                                <w:bCs w:val="0"/>
                              </w:rPr>
                              <w:fldChar w:fldCharType="end"/>
                            </w:r>
                            <w:r w:rsidRPr="00491D83">
                              <w:rPr>
                                <w:rFonts w:ascii="Times New Roman" w:hAnsi="Times New Roman" w:cs="Times New Roman"/>
                                <w:b w:val="0"/>
                                <w:bCs w:val="0"/>
                              </w:rPr>
                              <w:t>: Detection of defensive OTUs on salamander and cover objects.</w:t>
                            </w:r>
                            <w:bookmarkEnd w:id="170"/>
                            <w:bookmarkEnd w:id="171"/>
                            <w:bookmarkEnd w:id="172"/>
                            <w:bookmarkEnd w:id="173"/>
                            <w:bookmarkEnd w:id="174"/>
                            <w:bookmarkEnd w:id="1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C88412" id="_x0000_s1041" type="#_x0000_t202" style="position:absolute;left:0;text-align:left;margin-left:15.3pt;margin-top:386.55pt;width:468pt;height:.05pt;z-index:-25154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" stroked="f">
                <v:textbox style="mso-fit-shape-to-text:t" inset="0,0,0,0">
                  <w:txbxContent>
                    <w:p w14:paraId="3346B676" w14:textId="7D93F8A5" w:rsidR="00D24CDA" w:rsidRPr="00491D83" w:rsidRDefault="00D24CDA" w:rsidP="00D24CDA">
                      <w:pPr>
                        <w:pStyle w:val="Caption"/>
                        <w:rPr>
                          <w:rFonts w:ascii="Times New Roman" w:hAnsi="Times New Roman" w:cs="Times New Roman"/>
                          <w:b w:val="0"/>
                          <w:bCs w:val="0"/>
                        </w:rPr>
                      </w:pPr>
                      <w:bookmarkStart w:id="176" w:name="_Toc164888221"/>
                      <w:bookmarkStart w:id="177" w:name="_Toc164888273"/>
                      <w:bookmarkStart w:id="178" w:name="_Toc164888605"/>
                      <w:bookmarkStart w:id="179" w:name="_Toc164888701"/>
                      <w:bookmarkStart w:id="180" w:name="_Toc164888837"/>
                      <w:bookmarkStart w:id="181" w:name="_Toc165024873"/>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16</w:t>
                      </w:r>
                      <w:r w:rsidRPr="00491D83">
                        <w:rPr>
                          <w:rFonts w:ascii="Times New Roman" w:hAnsi="Times New Roman" w:cs="Times New Roman"/>
                          <w:b w:val="0"/>
                          <w:bCs w:val="0"/>
                        </w:rPr>
                        <w:fldChar w:fldCharType="end"/>
                      </w:r>
                      <w:r w:rsidRPr="00491D83">
                        <w:rPr>
                          <w:rFonts w:ascii="Times New Roman" w:hAnsi="Times New Roman" w:cs="Times New Roman"/>
                          <w:b w:val="0"/>
                          <w:bCs w:val="0"/>
                        </w:rPr>
                        <w:t>: Detection of defensive OTUs on salamander and cover objects.</w:t>
                      </w:r>
                      <w:bookmarkEnd w:id="176"/>
                      <w:bookmarkEnd w:id="177"/>
                      <w:bookmarkEnd w:id="178"/>
                      <w:bookmarkEnd w:id="179"/>
                      <w:bookmarkEnd w:id="180"/>
                      <w:bookmarkEnd w:id="181"/>
                    </w:p>
                  </w:txbxContent>
                </v:textbox>
                <w10:wrap type="tight"/>
              </v:shape>
            </w:pict>
          </mc:Fallback>
        </mc:AlternateContent>
      </w:r>
      <w:r w:rsidR="00FA442E" w:rsidRPr="00FA442E">
        <w:rPr>
          <w:rFonts w:ascii="Times New Roman" w:hAnsi="Times New Roman" w:cs="Times New Roman"/>
          <w:noProof/>
        </w:rPr>
        <w:drawing>
          <wp:anchor distT="0" distB="0" distL="114300" distR="114300" simplePos="0" relativeHeight="251766784" behindDoc="1" locked="0" layoutInCell="1" allowOverlap="1" wp14:anchorId="03E70065" wp14:editId="04E7BC23">
            <wp:simplePos x="0" y="0"/>
            <wp:positionH relativeFrom="column">
              <wp:posOffset>0</wp:posOffset>
            </wp:positionH>
            <wp:positionV relativeFrom="paragraph">
              <wp:posOffset>78105</wp:posOffset>
            </wp:positionV>
            <wp:extent cx="5943600" cy="4754245"/>
            <wp:effectExtent l="0" t="0" r="0" b="0"/>
            <wp:wrapTight wrapText="bothSides">
              <wp:wrapPolygon edited="0">
                <wp:start x="0" y="0"/>
                <wp:lineTo x="0" y="21522"/>
                <wp:lineTo x="21554" y="21522"/>
                <wp:lineTo x="21554" y="0"/>
                <wp:lineTo x="0" y="0"/>
              </wp:wrapPolygon>
            </wp:wrapTight>
            <wp:docPr id="6" name="Picture 5">
              <a:extLst xmlns:a="http://schemas.openxmlformats.org/drawingml/2006/main">
                <a:ext uri="{FF2B5EF4-FFF2-40B4-BE49-F238E27FC236}">
                  <a16:creationId xmlns:a16="http://schemas.microsoft.com/office/drawing/2014/main" id="{399919A0-864C-3B16-B72D-B8E767FF8F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99919A0-864C-3B16-B72D-B8E767FF8FED}"/>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943600" cy="4754245"/>
                    </a:xfrm>
                    <a:prstGeom prst="rect">
                      <a:avLst/>
                    </a:prstGeom>
                    <a:solidFill>
                      <a:schemeClr val="bg1"/>
                    </a:solidFill>
                  </pic:spPr>
                </pic:pic>
              </a:graphicData>
            </a:graphic>
            <wp14:sizeRelH relativeFrom="page">
              <wp14:pctWidth>0</wp14:pctWidth>
            </wp14:sizeRelH>
            <wp14:sizeRelV relativeFrom="page">
              <wp14:pctHeight>0</wp14:pctHeight>
            </wp14:sizeRelV>
          </wp:anchor>
        </w:drawing>
      </w:r>
    </w:p>
    <w:p w14:paraId="1EDBE917" w14:textId="3C18C1F8" w:rsidR="0039197A" w:rsidRPr="00403FC0" w:rsidRDefault="0039197A" w:rsidP="0039197A">
      <w:pPr>
        <w:pStyle w:val="Caption"/>
        <w:jc w:val="center"/>
        <w:rPr>
          <w:rFonts w:ascii="Times New Roman" w:hAnsi="Times New Roman" w:cs="Times New Roman"/>
        </w:rPr>
      </w:pPr>
    </w:p>
    <w:p w14:paraId="1E5C67BB" w14:textId="77777777" w:rsidR="000F0ADC" w:rsidRPr="000F0ADC" w:rsidRDefault="000F0ADC" w:rsidP="000F0ADC"/>
    <w:p w14:paraId="21B6CA65" w14:textId="7589DD30" w:rsidR="00E8292D" w:rsidRDefault="00E8292D">
      <w:pPr>
        <w:rPr>
          <w:rFonts w:ascii="Times" w:hAnsi="Times"/>
        </w:rPr>
      </w:pPr>
    </w:p>
    <w:p w14:paraId="09C320E4" w14:textId="77777777" w:rsidR="0039197A" w:rsidRDefault="0039197A" w:rsidP="005C70DD">
      <w:pPr>
        <w:spacing w:line="360" w:lineRule="auto"/>
        <w:rPr>
          <w:rFonts w:ascii="Times" w:hAnsi="Times"/>
        </w:rPr>
      </w:pPr>
    </w:p>
    <w:p w14:paraId="093AA443" w14:textId="77777777" w:rsidR="0039197A" w:rsidRDefault="0039197A">
      <w:pPr>
        <w:rPr>
          <w:rFonts w:ascii="Times" w:hAnsi="Times"/>
        </w:rPr>
      </w:pPr>
      <w:r>
        <w:rPr>
          <w:rFonts w:ascii="Times" w:hAnsi="Times"/>
        </w:rPr>
        <w:br w:type="page"/>
      </w:r>
    </w:p>
    <w:p w14:paraId="613C6479" w14:textId="504AC395" w:rsidR="000B341F" w:rsidRDefault="000B341F" w:rsidP="00915696">
      <w:pPr>
        <w:spacing w:line="360" w:lineRule="auto"/>
        <w:rPr>
          <w:rFonts w:ascii="Times New Roman" w:hAnsi="Times New Roman" w:cs="Times New Roman"/>
        </w:rPr>
      </w:pPr>
      <w:r w:rsidRPr="00D82873">
        <w:rPr>
          <w:rFonts w:ascii="Times New Roman" w:hAnsi="Times New Roman" w:cs="Times New Roman"/>
          <w:noProof/>
        </w:rPr>
        <w:lastRenderedPageBreak/>
        <w:drawing>
          <wp:anchor distT="0" distB="0" distL="114300" distR="114300" simplePos="0" relativeHeight="251769856" behindDoc="1" locked="0" layoutInCell="1" allowOverlap="1" wp14:anchorId="33AEEFC3" wp14:editId="0661AE88">
            <wp:simplePos x="0" y="0"/>
            <wp:positionH relativeFrom="column">
              <wp:posOffset>83185</wp:posOffset>
            </wp:positionH>
            <wp:positionV relativeFrom="paragraph">
              <wp:posOffset>97</wp:posOffset>
            </wp:positionV>
            <wp:extent cx="5876544" cy="4407408"/>
            <wp:effectExtent l="0" t="0" r="3810" b="0"/>
            <wp:wrapTight wrapText="bothSides">
              <wp:wrapPolygon edited="0">
                <wp:start x="2194" y="124"/>
                <wp:lineTo x="1214" y="685"/>
                <wp:lineTo x="980" y="871"/>
                <wp:lineTo x="1074" y="1245"/>
                <wp:lineTo x="2147" y="2241"/>
                <wp:lineTo x="1027" y="3237"/>
                <wp:lineTo x="1027" y="3610"/>
                <wp:lineTo x="1774" y="4233"/>
                <wp:lineTo x="2194" y="4233"/>
                <wp:lineTo x="233" y="5104"/>
                <wp:lineTo x="187" y="6598"/>
                <wp:lineTo x="140" y="11267"/>
                <wp:lineTo x="2101" y="12201"/>
                <wp:lineTo x="1214" y="12636"/>
                <wp:lineTo x="980" y="12823"/>
                <wp:lineTo x="1074" y="13197"/>
                <wp:lineTo x="2147" y="14193"/>
                <wp:lineTo x="980" y="15188"/>
                <wp:lineTo x="980" y="15437"/>
                <wp:lineTo x="1867" y="16184"/>
                <wp:lineTo x="2194" y="16184"/>
                <wp:lineTo x="2194" y="17056"/>
                <wp:lineTo x="2521" y="17180"/>
                <wp:lineTo x="4762" y="17180"/>
                <wp:lineTo x="3921" y="17616"/>
                <wp:lineTo x="4061" y="18114"/>
                <wp:lineTo x="18393" y="18176"/>
                <wp:lineTo x="10970" y="18550"/>
                <wp:lineTo x="10877" y="18923"/>
                <wp:lineTo x="10970" y="19172"/>
                <wp:lineTo x="8636" y="20168"/>
                <wp:lineTo x="8403" y="20293"/>
                <wp:lineTo x="8450" y="20915"/>
                <wp:lineTo x="14658" y="21040"/>
                <wp:lineTo x="14845" y="21040"/>
                <wp:lineTo x="15592" y="20791"/>
                <wp:lineTo x="15452" y="20293"/>
                <wp:lineTo x="12371" y="20168"/>
                <wp:lineTo x="12418" y="19172"/>
                <wp:lineTo x="12651" y="19172"/>
                <wp:lineTo x="19420" y="18239"/>
                <wp:lineTo x="19560" y="17927"/>
                <wp:lineTo x="19420" y="17616"/>
                <wp:lineTo x="18906" y="17180"/>
                <wp:lineTo x="21194" y="17180"/>
                <wp:lineTo x="21567" y="17056"/>
                <wp:lineTo x="21567" y="15375"/>
                <wp:lineTo x="21381" y="15188"/>
                <wp:lineTo x="20494" y="15126"/>
                <wp:lineTo x="20354" y="14815"/>
                <wp:lineTo x="18906" y="13197"/>
                <wp:lineTo x="21427" y="13010"/>
                <wp:lineTo x="21427" y="12823"/>
                <wp:lineTo x="18906" y="12201"/>
                <wp:lineTo x="18906" y="11205"/>
                <wp:lineTo x="21427" y="10582"/>
                <wp:lineTo x="21427" y="10395"/>
                <wp:lineTo x="18906" y="10209"/>
                <wp:lineTo x="18906" y="8217"/>
                <wp:lineTo x="21427" y="8217"/>
                <wp:lineTo x="21427" y="8030"/>
                <wp:lineTo x="18906" y="7221"/>
                <wp:lineTo x="18906" y="6225"/>
                <wp:lineTo x="21427" y="5851"/>
                <wp:lineTo x="21427" y="5727"/>
                <wp:lineTo x="18906" y="5229"/>
                <wp:lineTo x="18906" y="4233"/>
                <wp:lineTo x="21427" y="3486"/>
                <wp:lineTo x="21427" y="3299"/>
                <wp:lineTo x="18906" y="3237"/>
                <wp:lineTo x="18906" y="1245"/>
                <wp:lineTo x="21427" y="1058"/>
                <wp:lineTo x="21427" y="871"/>
                <wp:lineTo x="18906" y="124"/>
                <wp:lineTo x="2194" y="124"/>
              </wp:wrapPolygon>
            </wp:wrapTight>
            <wp:docPr id="6030471" name="Picture 5">
              <a:extLst xmlns:a="http://schemas.openxmlformats.org/drawingml/2006/main">
                <a:ext uri="{FF2B5EF4-FFF2-40B4-BE49-F238E27FC236}">
                  <a16:creationId xmlns:a16="http://schemas.microsoft.com/office/drawing/2014/main" id="{2143F86C-8771-EAA7-3A8D-EFBC2928B4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143F86C-8771-EAA7-3A8D-EFBC2928B4EA}"/>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876544" cy="4407408"/>
                    </a:xfrm>
                    <a:prstGeom prst="rect">
                      <a:avLst/>
                    </a:prstGeom>
                  </pic:spPr>
                </pic:pic>
              </a:graphicData>
            </a:graphic>
            <wp14:sizeRelH relativeFrom="page">
              <wp14:pctWidth>0</wp14:pctWidth>
            </wp14:sizeRelH>
            <wp14:sizeRelV relativeFrom="page">
              <wp14:pctHeight>0</wp14:pctHeight>
            </wp14:sizeRelV>
          </wp:anchor>
        </w:drawing>
      </w:r>
    </w:p>
    <w:p w14:paraId="1AD0010F" w14:textId="5F3DFD53" w:rsidR="000B341F" w:rsidRDefault="000B341F">
      <w:pPr>
        <w:rPr>
          <w:rFonts w:ascii="Times New Roman" w:hAnsi="Times New Roman" w:cs="Times New Roman"/>
        </w:rPr>
      </w:pPr>
      <w:r>
        <w:rPr>
          <w:noProof/>
        </w:rPr>
        <mc:AlternateContent>
          <mc:Choice Requires="wps">
            <w:drawing>
              <wp:anchor distT="0" distB="0" distL="114300" distR="114300" simplePos="0" relativeHeight="251802624" behindDoc="1" locked="0" layoutInCell="1" allowOverlap="1" wp14:anchorId="7109BC25" wp14:editId="3B70B9CC">
                <wp:simplePos x="0" y="0"/>
                <wp:positionH relativeFrom="column">
                  <wp:posOffset>83185</wp:posOffset>
                </wp:positionH>
                <wp:positionV relativeFrom="paragraph">
                  <wp:posOffset>4153242</wp:posOffset>
                </wp:positionV>
                <wp:extent cx="5876290" cy="635"/>
                <wp:effectExtent l="0" t="0" r="3810" b="12065"/>
                <wp:wrapTight wrapText="bothSides">
                  <wp:wrapPolygon edited="0">
                    <wp:start x="0" y="0"/>
                    <wp:lineTo x="0" y="0"/>
                    <wp:lineTo x="21567" y="0"/>
                    <wp:lineTo x="21567" y="0"/>
                    <wp:lineTo x="0" y="0"/>
                  </wp:wrapPolygon>
                </wp:wrapTight>
                <wp:docPr id="2075038788" name="Text Box 1"/>
                <wp:cNvGraphicFramePr/>
                <a:graphic xmlns:a="http://schemas.openxmlformats.org/drawingml/2006/main">
                  <a:graphicData uri="http://schemas.microsoft.com/office/word/2010/wordprocessingShape">
                    <wps:wsp>
                      <wps:cNvSpPr txBox="1"/>
                      <wps:spPr>
                        <a:xfrm>
                          <a:off x="0" y="0"/>
                          <a:ext cx="5876290" cy="635"/>
                        </a:xfrm>
                        <a:prstGeom prst="rect">
                          <a:avLst/>
                        </a:prstGeom>
                        <a:solidFill>
                          <a:prstClr val="white"/>
                        </a:solidFill>
                        <a:ln>
                          <a:noFill/>
                        </a:ln>
                      </wps:spPr>
                      <wps:txbx>
                        <w:txbxContent>
                          <w:p w14:paraId="46B6F936" w14:textId="0A09B6F9" w:rsidR="00A855C4" w:rsidRPr="00491D83" w:rsidRDefault="00A855C4" w:rsidP="00A855C4">
                            <w:pPr>
                              <w:pStyle w:val="Caption"/>
                              <w:rPr>
                                <w:rFonts w:ascii="Times New Roman" w:hAnsi="Times New Roman" w:cs="Times New Roman"/>
                                <w:b w:val="0"/>
                                <w:bCs w:val="0"/>
                                <w:noProof/>
                              </w:rPr>
                            </w:pPr>
                            <w:bookmarkStart w:id="182" w:name="_Toc165024874"/>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17</w:t>
                            </w:r>
                            <w:r w:rsidRPr="00491D83">
                              <w:rPr>
                                <w:rFonts w:ascii="Times New Roman" w:hAnsi="Times New Roman" w:cs="Times New Roman"/>
                                <w:b w:val="0"/>
                                <w:bCs w:val="0"/>
                              </w:rPr>
                              <w:fldChar w:fldCharType="end"/>
                            </w:r>
                            <w:r w:rsidRPr="00491D83">
                              <w:rPr>
                                <w:rFonts w:ascii="Times New Roman" w:hAnsi="Times New Roman" w:cs="Times New Roman"/>
                                <w:b w:val="0"/>
                                <w:bCs w:val="0"/>
                              </w:rPr>
                              <w:t>: Relative abundance of OTUs showing statistical affinity for salamanders.</w:t>
                            </w:r>
                            <w:bookmarkEnd w:id="18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09BC25" id="_x0000_s1042" type="#_x0000_t202" style="position:absolute;margin-left:6.55pt;margin-top:327.05pt;width:462.7pt;height:.05pt;z-index:-25151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" stroked="f">
                <v:textbox style="mso-fit-shape-to-text:t" inset="0,0,0,0">
                  <w:txbxContent>
                    <w:p w14:paraId="46B6F936" w14:textId="0A09B6F9" w:rsidR="00A855C4" w:rsidRPr="00491D83" w:rsidRDefault="00A855C4" w:rsidP="00A855C4">
                      <w:pPr>
                        <w:pStyle w:val="Caption"/>
                        <w:rPr>
                          <w:rFonts w:ascii="Times New Roman" w:hAnsi="Times New Roman" w:cs="Times New Roman"/>
                          <w:b w:val="0"/>
                          <w:bCs w:val="0"/>
                          <w:noProof/>
                        </w:rPr>
                      </w:pPr>
                      <w:bookmarkStart w:id="183" w:name="_Toc165024874"/>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17</w:t>
                      </w:r>
                      <w:r w:rsidRPr="00491D83">
                        <w:rPr>
                          <w:rFonts w:ascii="Times New Roman" w:hAnsi="Times New Roman" w:cs="Times New Roman"/>
                          <w:b w:val="0"/>
                          <w:bCs w:val="0"/>
                        </w:rPr>
                        <w:fldChar w:fldCharType="end"/>
                      </w:r>
                      <w:r w:rsidRPr="00491D83">
                        <w:rPr>
                          <w:rFonts w:ascii="Times New Roman" w:hAnsi="Times New Roman" w:cs="Times New Roman"/>
                          <w:b w:val="0"/>
                          <w:bCs w:val="0"/>
                        </w:rPr>
                        <w:t>: Relative abundance of OTUs showing statistical affinity for salamanders.</w:t>
                      </w:r>
                      <w:bookmarkEnd w:id="183"/>
                    </w:p>
                  </w:txbxContent>
                </v:textbox>
                <w10:wrap type="tight"/>
              </v:shape>
            </w:pict>
          </mc:Fallback>
        </mc:AlternateContent>
      </w:r>
      <w:r>
        <w:rPr>
          <w:rFonts w:ascii="Times New Roman" w:hAnsi="Times New Roman" w:cs="Times New Roman"/>
        </w:rPr>
        <w:br w:type="page"/>
      </w:r>
    </w:p>
    <w:p w14:paraId="093724D1" w14:textId="71DDAD3B" w:rsidR="002F0DCF" w:rsidRPr="005E32F5" w:rsidRDefault="002F0DCF" w:rsidP="00915696">
      <w:pPr>
        <w:spacing w:line="360" w:lineRule="auto"/>
        <w:rPr>
          <w:rFonts w:ascii="Times New Roman" w:hAnsi="Times New Roman" w:cs="Times New Roman"/>
        </w:rPr>
      </w:pPr>
      <w:r w:rsidRPr="005E32F5">
        <w:rPr>
          <w:rFonts w:ascii="Times New Roman" w:hAnsi="Times New Roman" w:cs="Times New Roman"/>
        </w:rPr>
        <w:lastRenderedPageBreak/>
        <w:t xml:space="preserve">salamander and belonged to the genera </w:t>
      </w:r>
      <w:r w:rsidRPr="005E32F5">
        <w:rPr>
          <w:rFonts w:ascii="Times New Roman" w:hAnsi="Times New Roman" w:cs="Times New Roman"/>
          <w:i/>
          <w:iCs/>
        </w:rPr>
        <w:t>Pseudomonas</w:t>
      </w:r>
      <w:r w:rsidRPr="005E32F5">
        <w:rPr>
          <w:rFonts w:ascii="Times New Roman" w:hAnsi="Times New Roman" w:cs="Times New Roman"/>
        </w:rPr>
        <w:t xml:space="preserve">, </w:t>
      </w:r>
      <w:proofErr w:type="spellStart"/>
      <w:r w:rsidRPr="005E32F5">
        <w:rPr>
          <w:rFonts w:ascii="Times New Roman" w:hAnsi="Times New Roman" w:cs="Times New Roman"/>
          <w:i/>
          <w:iCs/>
        </w:rPr>
        <w:t>Salinibacterium</w:t>
      </w:r>
      <w:proofErr w:type="spellEnd"/>
      <w:r w:rsidRPr="005E32F5">
        <w:rPr>
          <w:rFonts w:ascii="Times New Roman" w:hAnsi="Times New Roman" w:cs="Times New Roman"/>
        </w:rPr>
        <w:t xml:space="preserve">, </w:t>
      </w:r>
      <w:proofErr w:type="spellStart"/>
      <w:r w:rsidRPr="005E32F5">
        <w:rPr>
          <w:rFonts w:ascii="Times New Roman" w:hAnsi="Times New Roman" w:cs="Times New Roman"/>
          <w:i/>
          <w:iCs/>
        </w:rPr>
        <w:t>Sphingomonas</w:t>
      </w:r>
      <w:proofErr w:type="spellEnd"/>
      <w:r w:rsidRPr="005E32F5">
        <w:rPr>
          <w:rFonts w:ascii="Times New Roman" w:hAnsi="Times New Roman" w:cs="Times New Roman"/>
        </w:rPr>
        <w:t xml:space="preserve">, </w:t>
      </w:r>
      <w:r w:rsidRPr="005E32F5">
        <w:rPr>
          <w:rFonts w:ascii="Times New Roman" w:hAnsi="Times New Roman" w:cs="Times New Roman"/>
          <w:i/>
          <w:iCs/>
        </w:rPr>
        <w:t>Rhizobium</w:t>
      </w:r>
      <w:r w:rsidRPr="005E32F5">
        <w:rPr>
          <w:rFonts w:ascii="Times New Roman" w:hAnsi="Times New Roman" w:cs="Times New Roman"/>
        </w:rPr>
        <w:t xml:space="preserve">, and </w:t>
      </w:r>
      <w:r w:rsidRPr="005E32F5">
        <w:rPr>
          <w:rFonts w:ascii="Times New Roman" w:hAnsi="Times New Roman" w:cs="Times New Roman"/>
          <w:i/>
          <w:iCs/>
        </w:rPr>
        <w:t>Stenotrophomonas</w:t>
      </w:r>
      <w:r w:rsidRPr="005E32F5">
        <w:rPr>
          <w:rFonts w:ascii="Times New Roman" w:hAnsi="Times New Roman" w:cs="Times New Roman"/>
        </w:rPr>
        <w:t>. Notably, these OTUs were additionally detected in between nine and thirty cover objects. Three of these five OTUs (</w:t>
      </w:r>
      <w:r w:rsidRPr="005E32F5">
        <w:rPr>
          <w:rFonts w:ascii="Times New Roman" w:hAnsi="Times New Roman" w:cs="Times New Roman"/>
          <w:i/>
          <w:iCs/>
        </w:rPr>
        <w:t>Pseudomonas</w:t>
      </w:r>
      <w:r w:rsidRPr="005E32F5">
        <w:rPr>
          <w:rFonts w:ascii="Times New Roman" w:hAnsi="Times New Roman" w:cs="Times New Roman"/>
        </w:rPr>
        <w:t xml:space="preserve">, </w:t>
      </w:r>
      <w:r w:rsidRPr="005E32F5">
        <w:rPr>
          <w:rFonts w:ascii="Times New Roman" w:hAnsi="Times New Roman" w:cs="Times New Roman"/>
          <w:i/>
          <w:iCs/>
        </w:rPr>
        <w:t>Rhizobium</w:t>
      </w:r>
      <w:r w:rsidRPr="005E32F5">
        <w:rPr>
          <w:rFonts w:ascii="Times New Roman" w:hAnsi="Times New Roman" w:cs="Times New Roman"/>
        </w:rPr>
        <w:t xml:space="preserve">, and </w:t>
      </w:r>
      <w:r w:rsidRPr="005E32F5">
        <w:rPr>
          <w:rFonts w:ascii="Times New Roman" w:hAnsi="Times New Roman" w:cs="Times New Roman"/>
          <w:i/>
          <w:iCs/>
        </w:rPr>
        <w:t>Stenotrophomonas</w:t>
      </w:r>
      <w:r w:rsidRPr="005E32F5">
        <w:rPr>
          <w:rFonts w:ascii="Times New Roman" w:hAnsi="Times New Roman" w:cs="Times New Roman"/>
        </w:rPr>
        <w:t>) were also in the other three core definitions. In total, 8 OTUs (14%) of the host-associated core were also capable of chytrid inhibition.</w:t>
      </w:r>
    </w:p>
    <w:p w14:paraId="6468E9B9" w14:textId="77777777" w:rsidR="00FA442E" w:rsidRDefault="002F0DCF" w:rsidP="00FA442E">
      <w:pPr>
        <w:spacing w:line="360" w:lineRule="auto"/>
        <w:rPr>
          <w:rFonts w:ascii="Times New Roman" w:hAnsi="Times New Roman" w:cs="Times New Roman"/>
        </w:rPr>
      </w:pPr>
      <w:r w:rsidRPr="005E32F5">
        <w:rPr>
          <w:rFonts w:ascii="Times New Roman" w:hAnsi="Times New Roman" w:cs="Times New Roman"/>
        </w:rPr>
        <w:tab/>
        <w:t xml:space="preserve">Kernel density estimates of observed and simulated null distributions produced contrasting patterns. Randomized communities exhibited a trimodal distribution of indicator </w:t>
      </w:r>
      <w:r w:rsidR="00FA442E" w:rsidRPr="005E32F5">
        <w:rPr>
          <w:rFonts w:ascii="Times New Roman" w:hAnsi="Times New Roman" w:cs="Times New Roman"/>
        </w:rPr>
        <w:t>species correlations, with the highest density centered on zero, while our observed samples showed a bimodal distribution with relatively low density around zero and peaks of higher density around 0.1 and -0.1, meaning a larger fraction of OTUs were moderately associated with either salamanders or cover objects than expected by chance (</w:t>
      </w:r>
      <w:r w:rsidR="00FA442E" w:rsidRPr="005E32F5">
        <w:rPr>
          <w:rFonts w:ascii="Times New Roman" w:hAnsi="Times New Roman" w:cs="Times New Roman"/>
          <w:b/>
          <w:bCs/>
        </w:rPr>
        <w:t xml:space="preserve">Fig. </w:t>
      </w:r>
      <w:r w:rsidR="00FA442E">
        <w:rPr>
          <w:rFonts w:ascii="Times New Roman" w:hAnsi="Times New Roman" w:cs="Times New Roman"/>
          <w:b/>
          <w:bCs/>
        </w:rPr>
        <w:t>1</w:t>
      </w:r>
      <w:r w:rsidR="00FA442E" w:rsidRPr="005E32F5">
        <w:rPr>
          <w:rFonts w:ascii="Times New Roman" w:hAnsi="Times New Roman" w:cs="Times New Roman"/>
          <w:b/>
          <w:bCs/>
        </w:rPr>
        <w:t>8</w:t>
      </w:r>
      <w:r w:rsidR="00FA442E" w:rsidRPr="005E32F5">
        <w:rPr>
          <w:rFonts w:ascii="Times New Roman" w:hAnsi="Times New Roman" w:cs="Times New Roman"/>
        </w:rPr>
        <w:t xml:space="preserve">). This observed bimodality was concentrated in either a slightly negative or slightly positive association range and </w:t>
      </w:r>
      <w:proofErr w:type="gramStart"/>
      <w:r w:rsidR="00FA442E" w:rsidRPr="005E32F5">
        <w:rPr>
          <w:rFonts w:ascii="Times New Roman" w:hAnsi="Times New Roman" w:cs="Times New Roman"/>
        </w:rPr>
        <w:t>stems</w:t>
      </w:r>
      <w:proofErr w:type="gramEnd"/>
      <w:r w:rsidR="00FA442E" w:rsidRPr="005E32F5">
        <w:rPr>
          <w:rFonts w:ascii="Times New Roman" w:hAnsi="Times New Roman" w:cs="Times New Roman"/>
        </w:rPr>
        <w:t xml:space="preserve"> </w:t>
      </w:r>
    </w:p>
    <w:p w14:paraId="27DB4BC1" w14:textId="2583AC50" w:rsidR="00FA442E" w:rsidRDefault="00FA442E" w:rsidP="00FA442E">
      <w:pPr>
        <w:spacing w:line="360" w:lineRule="auto"/>
        <w:rPr>
          <w:rFonts w:ascii="Times New Roman" w:hAnsi="Times New Roman" w:cs="Times New Roman"/>
        </w:rPr>
      </w:pPr>
      <w:r w:rsidRPr="005E32F5">
        <w:rPr>
          <w:rFonts w:ascii="Times New Roman" w:hAnsi="Times New Roman" w:cs="Times New Roman"/>
        </w:rPr>
        <w:t xml:space="preserve">from many OTUs having detection on only a few salamanders and no cover objects, or </w:t>
      </w:r>
      <w:r w:rsidRPr="005E32F5">
        <w:rPr>
          <w:rFonts w:ascii="Times New Roman" w:hAnsi="Times New Roman" w:cs="Times New Roman"/>
          <w:i/>
          <w:iCs/>
        </w:rPr>
        <w:t>vice versa</w:t>
      </w:r>
      <w:r w:rsidRPr="005E32F5">
        <w:rPr>
          <w:rFonts w:ascii="Times New Roman" w:hAnsi="Times New Roman" w:cs="Times New Roman"/>
        </w:rPr>
        <w:t>. OTUs negatively associated with salamanders could additionally reflect microbes with low relative abundance in cover objects and dormant microbes with low dispersal probability. In many cases, OTUs positively associated with salamander skin were not exclusive to salamander-associated communities but instead showed strong associations through differential abundance. For example, nineteen of our indicator OTUs were detected in ten or more cover objects, while 22 were found on two or fewer. In this regard, taxa in the host-associated core fall on a spectrum between OTUs disproportionately abundant on salamanders with similar detection rates on cover objects, and OTUs disproportionately detected on salamanders.</w:t>
      </w:r>
    </w:p>
    <w:p w14:paraId="1FCEF739" w14:textId="77777777" w:rsidR="00915696" w:rsidRPr="005E32F5" w:rsidRDefault="00915696" w:rsidP="00915696">
      <w:pPr>
        <w:pStyle w:val="Heading2"/>
        <w:rPr>
          <w:rFonts w:ascii="Times New Roman" w:hAnsi="Times New Roman" w:cs="Times New Roman"/>
          <w:b w:val="0"/>
          <w:bCs w:val="0"/>
        </w:rPr>
      </w:pPr>
      <w:bookmarkStart w:id="184" w:name="_Toc165028093"/>
      <w:r>
        <w:rPr>
          <w:rFonts w:ascii="Times New Roman" w:hAnsi="Times New Roman" w:cs="Times New Roman"/>
        </w:rPr>
        <w:t>Dis</w:t>
      </w:r>
      <w:r w:rsidRPr="005E32F5">
        <w:rPr>
          <w:rFonts w:ascii="Times New Roman" w:hAnsi="Times New Roman" w:cs="Times New Roman"/>
        </w:rPr>
        <w:t>cussion</w:t>
      </w:r>
      <w:bookmarkEnd w:id="184"/>
    </w:p>
    <w:p w14:paraId="1CE6F724" w14:textId="56C15E04" w:rsidR="000F0ADC" w:rsidRDefault="00915696" w:rsidP="000B341F">
      <w:pPr>
        <w:spacing w:line="360" w:lineRule="auto"/>
        <w:ind w:firstLine="720"/>
        <w:rPr>
          <w:rFonts w:ascii="Times New Roman" w:hAnsi="Times New Roman" w:cs="Times New Roman"/>
        </w:rPr>
      </w:pPr>
      <w:r w:rsidRPr="005E32F5">
        <w:rPr>
          <w:rFonts w:ascii="Times New Roman" w:hAnsi="Times New Roman" w:cs="Times New Roman"/>
        </w:rPr>
        <w:t>External microbiomes are highly susceptible to immigration from environmental</w:t>
      </w:r>
      <w:r>
        <w:rPr>
          <w:rFonts w:ascii="Times New Roman" w:hAnsi="Times New Roman" w:cs="Times New Roman"/>
        </w:rPr>
        <w:t xml:space="preserve"> </w:t>
      </w:r>
      <w:r w:rsidRPr="005E32F5">
        <w:rPr>
          <w:rFonts w:ascii="Times New Roman" w:hAnsi="Times New Roman" w:cs="Times New Roman"/>
        </w:rPr>
        <w:t xml:space="preserve">reservoirs, </w:t>
      </w:r>
      <w:r w:rsidR="00D24CDA">
        <w:rPr>
          <w:rFonts w:ascii="Times New Roman" w:hAnsi="Times New Roman" w:cs="Times New Roman"/>
        </w:rPr>
        <w:t xml:space="preserve">making it unclear how specific communities are to a host and which symbionts could </w:t>
      </w:r>
      <w:r w:rsidR="00E3015B">
        <w:rPr>
          <w:rFonts w:ascii="Times New Roman" w:hAnsi="Times New Roman" w:cs="Times New Roman"/>
        </w:rPr>
        <w:t xml:space="preserve">be </w:t>
      </w:r>
      <w:r w:rsidR="00E3015B" w:rsidRPr="005E32F5">
        <w:rPr>
          <w:rFonts w:ascii="Times New Roman" w:hAnsi="Times New Roman" w:cs="Times New Roman"/>
        </w:rPr>
        <w:t xml:space="preserve">candidates for more intimate associations. We have previously shown that salamander-associated communities are differentiated by microhabitat utilization, with some evidence for microbes showing tolerance for the ‘salamander condition’. Even between co-occurring hosts, communities are highly heterogeneous, with differentiation consistent with neutral processes. In this study, we assessed the temporal constancy of skin bacterial assemblages of </w:t>
      </w:r>
      <w:r w:rsidR="00E3015B" w:rsidRPr="005E32F5">
        <w:rPr>
          <w:rFonts w:ascii="Times New Roman" w:hAnsi="Times New Roman" w:cs="Times New Roman"/>
          <w:i/>
          <w:iCs/>
        </w:rPr>
        <w:t xml:space="preserve">Eurycea </w:t>
      </w:r>
      <w:r w:rsidR="00E3015B" w:rsidRPr="005E32F5">
        <w:rPr>
          <w:rFonts w:ascii="Times New Roman" w:hAnsi="Times New Roman" w:cs="Times New Roman"/>
        </w:rPr>
        <w:t xml:space="preserve">cf. </w:t>
      </w:r>
    </w:p>
    <w:p w14:paraId="1F88E910" w14:textId="56FEF480" w:rsidR="00FA442E" w:rsidRDefault="00A855C4">
      <w:pPr>
        <w:rPr>
          <w:rFonts w:ascii="Times New Roman" w:hAnsi="Times New Roman" w:cs="Times New Roman"/>
          <w:b/>
          <w:bCs/>
          <w:iCs/>
          <w:sz w:val="28"/>
          <w:szCs w:val="28"/>
        </w:rPr>
      </w:pPr>
      <w:r>
        <w:rPr>
          <w:noProof/>
        </w:rPr>
        <w:lastRenderedPageBreak/>
        <mc:AlternateContent>
          <mc:Choice Requires="wps">
            <w:drawing>
              <wp:anchor distT="0" distB="0" distL="114300" distR="114300" simplePos="0" relativeHeight="251800576" behindDoc="1" locked="0" layoutInCell="1" allowOverlap="1" wp14:anchorId="0DF6ABE5" wp14:editId="7905D41B">
                <wp:simplePos x="0" y="0"/>
                <wp:positionH relativeFrom="column">
                  <wp:posOffset>29845</wp:posOffset>
                </wp:positionH>
                <wp:positionV relativeFrom="paragraph">
                  <wp:posOffset>3842385</wp:posOffset>
                </wp:positionV>
                <wp:extent cx="5943600" cy="635"/>
                <wp:effectExtent l="0" t="0" r="0" b="12065"/>
                <wp:wrapTight wrapText="bothSides">
                  <wp:wrapPolygon edited="0">
                    <wp:start x="0" y="0"/>
                    <wp:lineTo x="0" y="0"/>
                    <wp:lineTo x="21554" y="0"/>
                    <wp:lineTo x="21554" y="0"/>
                    <wp:lineTo x="0" y="0"/>
                  </wp:wrapPolygon>
                </wp:wrapTight>
                <wp:docPr id="732614992"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F2058E4" w14:textId="3ADDBDA3" w:rsidR="00A855C4" w:rsidRPr="00491D83" w:rsidRDefault="00A855C4" w:rsidP="00A855C4">
                            <w:pPr>
                              <w:pStyle w:val="Caption"/>
                              <w:rPr>
                                <w:rFonts w:ascii="Times New Roman" w:hAnsi="Times New Roman" w:cs="Times New Roman"/>
                                <w:b w:val="0"/>
                                <w:bCs w:val="0"/>
                                <w:noProof/>
                              </w:rPr>
                            </w:pPr>
                            <w:bookmarkStart w:id="185" w:name="_Toc165024875"/>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18</w:t>
                            </w:r>
                            <w:r w:rsidRPr="00491D83">
                              <w:rPr>
                                <w:rFonts w:ascii="Times New Roman" w:hAnsi="Times New Roman" w:cs="Times New Roman"/>
                                <w:b w:val="0"/>
                                <w:bCs w:val="0"/>
                              </w:rPr>
                              <w:fldChar w:fldCharType="end"/>
                            </w:r>
                            <w:r w:rsidRPr="00491D83">
                              <w:rPr>
                                <w:rFonts w:ascii="Times New Roman" w:hAnsi="Times New Roman" w:cs="Times New Roman"/>
                                <w:b w:val="0"/>
                                <w:bCs w:val="0"/>
                              </w:rPr>
                              <w:t>: Distribution of observed (blue) and simulated (black) correlation coefficients.</w:t>
                            </w:r>
                            <w:bookmarkEnd w:id="1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F6ABE5" id="_x0000_s1043" type="#_x0000_t202" style="position:absolute;margin-left:2.35pt;margin-top:302.55pt;width:468pt;height:.05pt;z-index:-25151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" stroked="f">
                <v:textbox style="mso-fit-shape-to-text:t" inset="0,0,0,0">
                  <w:txbxContent>
                    <w:p w14:paraId="3F2058E4" w14:textId="3ADDBDA3" w:rsidR="00A855C4" w:rsidRPr="00491D83" w:rsidRDefault="00A855C4" w:rsidP="00A855C4">
                      <w:pPr>
                        <w:pStyle w:val="Caption"/>
                        <w:rPr>
                          <w:rFonts w:ascii="Times New Roman" w:hAnsi="Times New Roman" w:cs="Times New Roman"/>
                          <w:b w:val="0"/>
                          <w:bCs w:val="0"/>
                          <w:noProof/>
                        </w:rPr>
                      </w:pPr>
                      <w:bookmarkStart w:id="186" w:name="_Toc165024875"/>
                      <w:r w:rsidRPr="00491D83">
                        <w:rPr>
                          <w:rFonts w:ascii="Times New Roman" w:hAnsi="Times New Roman" w:cs="Times New Roman"/>
                          <w:b w:val="0"/>
                          <w:bCs w:val="0"/>
                        </w:rPr>
                        <w:t xml:space="preserve">Figure </w:t>
                      </w:r>
                      <w:r w:rsidRPr="00491D83">
                        <w:rPr>
                          <w:rFonts w:ascii="Times New Roman" w:hAnsi="Times New Roman" w:cs="Times New Roman"/>
                          <w:b w:val="0"/>
                          <w:bCs w:val="0"/>
                        </w:rPr>
                        <w:fldChar w:fldCharType="begin"/>
                      </w:r>
                      <w:r w:rsidRPr="00491D83">
                        <w:rPr>
                          <w:rFonts w:ascii="Times New Roman" w:hAnsi="Times New Roman" w:cs="Times New Roman"/>
                          <w:b w:val="0"/>
                          <w:bCs w:val="0"/>
                        </w:rPr>
                        <w:instrText xml:space="preserve"> SEQ Figure \* ARABIC </w:instrText>
                      </w:r>
                      <w:r w:rsidRPr="00491D83">
                        <w:rPr>
                          <w:rFonts w:ascii="Times New Roman" w:hAnsi="Times New Roman" w:cs="Times New Roman"/>
                          <w:b w:val="0"/>
                          <w:bCs w:val="0"/>
                        </w:rPr>
                        <w:fldChar w:fldCharType="separate"/>
                      </w:r>
                      <w:r w:rsidR="001648DD">
                        <w:rPr>
                          <w:rFonts w:ascii="Times New Roman" w:hAnsi="Times New Roman" w:cs="Times New Roman"/>
                          <w:b w:val="0"/>
                          <w:bCs w:val="0"/>
                          <w:noProof/>
                        </w:rPr>
                        <w:t>18</w:t>
                      </w:r>
                      <w:r w:rsidRPr="00491D83">
                        <w:rPr>
                          <w:rFonts w:ascii="Times New Roman" w:hAnsi="Times New Roman" w:cs="Times New Roman"/>
                          <w:b w:val="0"/>
                          <w:bCs w:val="0"/>
                        </w:rPr>
                        <w:fldChar w:fldCharType="end"/>
                      </w:r>
                      <w:r w:rsidRPr="00491D83">
                        <w:rPr>
                          <w:rFonts w:ascii="Times New Roman" w:hAnsi="Times New Roman" w:cs="Times New Roman"/>
                          <w:b w:val="0"/>
                          <w:bCs w:val="0"/>
                        </w:rPr>
                        <w:t>: Distribution of observed (blue) and simulated (black) correlation coefficients.</w:t>
                      </w:r>
                      <w:bookmarkEnd w:id="186"/>
                    </w:p>
                  </w:txbxContent>
                </v:textbox>
                <w10:wrap type="tight"/>
              </v:shape>
            </w:pict>
          </mc:Fallback>
        </mc:AlternateContent>
      </w:r>
      <w:r w:rsidR="00FA442E" w:rsidRPr="00D82873">
        <w:rPr>
          <w:rFonts w:ascii="Times New Roman" w:hAnsi="Times New Roman" w:cs="Times New Roman"/>
          <w:noProof/>
        </w:rPr>
        <w:drawing>
          <wp:anchor distT="0" distB="0" distL="114300" distR="114300" simplePos="0" relativeHeight="251753472" behindDoc="1" locked="0" layoutInCell="1" allowOverlap="1" wp14:anchorId="1FAFA7BE" wp14:editId="76EA364E">
            <wp:simplePos x="0" y="0"/>
            <wp:positionH relativeFrom="column">
              <wp:posOffset>29950</wp:posOffset>
            </wp:positionH>
            <wp:positionV relativeFrom="paragraph">
              <wp:posOffset>47214</wp:posOffset>
            </wp:positionV>
            <wp:extent cx="5943600" cy="3738245"/>
            <wp:effectExtent l="0" t="0" r="0" b="0"/>
            <wp:wrapTight wrapText="bothSides">
              <wp:wrapPolygon edited="0">
                <wp:start x="0" y="0"/>
                <wp:lineTo x="0" y="21501"/>
                <wp:lineTo x="21554" y="21501"/>
                <wp:lineTo x="21554" y="0"/>
                <wp:lineTo x="0" y="0"/>
              </wp:wrapPolygon>
            </wp:wrapTight>
            <wp:docPr id="658706815" name="Picture 3">
              <a:extLst xmlns:a="http://schemas.openxmlformats.org/drawingml/2006/main">
                <a:ext uri="{FF2B5EF4-FFF2-40B4-BE49-F238E27FC236}">
                  <a16:creationId xmlns:a16="http://schemas.microsoft.com/office/drawing/2014/main" id="{592440CF-D0A6-2177-F189-9EDBD9BB0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92440CF-D0A6-2177-F189-9EDBD9BB0439}"/>
                        </a:ext>
                      </a:extLst>
                    </pic:cNvPr>
                    <pic:cNvPicPr>
                      <a:picLocks noChangeAspect="1"/>
                    </pic:cNvPicPr>
                  </pic:nvPicPr>
                  <pic:blipFill rotWithShape="1">
                    <a:blip r:embed="rId27">
                      <a:extLst>
                        <a:ext uri="{28A0092B-C50C-407E-A947-70E740481C1C}">
                          <a14:useLocalDpi xmlns:a14="http://schemas.microsoft.com/office/drawing/2010/main" val="0"/>
                        </a:ext>
                      </a:extLst>
                    </a:blip>
                    <a:srcRect t="18552" r="5865" b="4617"/>
                    <a:stretch/>
                  </pic:blipFill>
                  <pic:spPr>
                    <a:xfrm>
                      <a:off x="0" y="0"/>
                      <a:ext cx="5943600" cy="3738245"/>
                    </a:xfrm>
                    <a:prstGeom prst="rect">
                      <a:avLst/>
                    </a:prstGeom>
                  </pic:spPr>
                </pic:pic>
              </a:graphicData>
            </a:graphic>
            <wp14:sizeRelH relativeFrom="page">
              <wp14:pctWidth>0</wp14:pctWidth>
            </wp14:sizeRelH>
            <wp14:sizeRelV relativeFrom="page">
              <wp14:pctHeight>0</wp14:pctHeight>
            </wp14:sizeRelV>
          </wp:anchor>
        </w:drawing>
      </w:r>
      <w:r w:rsidR="00FA442E">
        <w:rPr>
          <w:rFonts w:ascii="Times New Roman" w:hAnsi="Times New Roman" w:cs="Times New Roman"/>
        </w:rPr>
        <w:br w:type="page"/>
      </w:r>
    </w:p>
    <w:p w14:paraId="49C0D2B0" w14:textId="5E769C18" w:rsidR="000F0ADC" w:rsidRPr="005E32F5" w:rsidRDefault="008F5313" w:rsidP="00FA442E">
      <w:pPr>
        <w:spacing w:line="360" w:lineRule="auto"/>
        <w:rPr>
          <w:rFonts w:ascii="Times New Roman" w:hAnsi="Times New Roman" w:cs="Times New Roman"/>
        </w:rPr>
      </w:pPr>
      <w:proofErr w:type="spellStart"/>
      <w:r w:rsidRPr="005E32F5">
        <w:rPr>
          <w:rFonts w:ascii="Times New Roman" w:hAnsi="Times New Roman" w:cs="Times New Roman"/>
          <w:i/>
          <w:iCs/>
        </w:rPr>
        <w:lastRenderedPageBreak/>
        <w:t>wilderae</w:t>
      </w:r>
      <w:proofErr w:type="spellEnd"/>
      <w:r w:rsidRPr="005E32F5">
        <w:rPr>
          <w:rFonts w:ascii="Times New Roman" w:hAnsi="Times New Roman" w:cs="Times New Roman"/>
        </w:rPr>
        <w:t xml:space="preserve"> over the course of four seasons as hosts move between aquatic and terrestrial habitats. We used taxonomic and phylogenetic turnover to assess community patterns and tested whether a non-random component of the skin microbiome remains consistent over habitat transitions using commonly applied ‘core’ microbiome definitions. Our results found high seasonal turnover of skin assemblages, particularly when salamanders shifted between aquatic and terrestrial habitats. In general, the most common bacteria on salamander skin were also common on cover objects, suggesting that a simplistic concept of a core microbiome as those taxa that are common</w:t>
      </w:r>
      <w:r w:rsidR="00FA442E">
        <w:rPr>
          <w:rFonts w:ascii="Times New Roman" w:hAnsi="Times New Roman" w:cs="Times New Roman"/>
        </w:rPr>
        <w:t xml:space="preserve"> </w:t>
      </w:r>
      <w:r w:rsidR="000F0ADC" w:rsidRPr="005E32F5">
        <w:rPr>
          <w:rFonts w:ascii="Times New Roman" w:hAnsi="Times New Roman" w:cs="Times New Roman"/>
        </w:rPr>
        <w:t>on hosts is of limited value. However, there are bacteria with weak to modest statistical associations with salamander skin relative to cover objects, including some taxa with antifungal metabolites that could provide defensive benefits to the hosts. Thus, it is possible that there is a defensive functional core providing important or even essential services on salamander skin.</w:t>
      </w:r>
    </w:p>
    <w:p w14:paraId="41BCD7C7" w14:textId="04D814D2" w:rsidR="00E8292D" w:rsidRPr="000F0ADC" w:rsidRDefault="000F0ADC" w:rsidP="000F0ADC">
      <w:pPr>
        <w:spacing w:line="360" w:lineRule="auto"/>
        <w:rPr>
          <w:rFonts w:ascii="Times New Roman" w:hAnsi="Times New Roman" w:cs="Times New Roman"/>
        </w:rPr>
      </w:pPr>
      <w:r>
        <w:rPr>
          <w:rFonts w:ascii="Times New Roman" w:hAnsi="Times New Roman" w:cs="Times New Roman"/>
        </w:rPr>
        <w:tab/>
      </w:r>
      <w:r w:rsidRPr="005E32F5">
        <w:rPr>
          <w:rFonts w:ascii="Times New Roman" w:hAnsi="Times New Roman" w:cs="Times New Roman"/>
        </w:rPr>
        <w:t xml:space="preserve">Seasonality and habitat utilization had little effect on the alpha diversity of </w:t>
      </w:r>
      <w:r w:rsidRPr="005E32F5">
        <w:rPr>
          <w:rFonts w:ascii="Times New Roman" w:hAnsi="Times New Roman" w:cs="Times New Roman"/>
          <w:i/>
          <w:iCs/>
        </w:rPr>
        <w:t xml:space="preserve">E. </w:t>
      </w:r>
      <w:r w:rsidRPr="005E32F5">
        <w:rPr>
          <w:rFonts w:ascii="Times New Roman" w:hAnsi="Times New Roman" w:cs="Times New Roman"/>
        </w:rPr>
        <w:t>cf.</w:t>
      </w:r>
      <w:r w:rsidRPr="005E32F5">
        <w:rPr>
          <w:rFonts w:ascii="Times New Roman" w:hAnsi="Times New Roman" w:cs="Times New Roman"/>
          <w:i/>
          <w:iCs/>
        </w:rPr>
        <w:t xml:space="preserve"> </w:t>
      </w:r>
    </w:p>
    <w:p w14:paraId="1C2B30F5" w14:textId="7BEC0C30" w:rsidR="002F0DCF" w:rsidRPr="005E32F5" w:rsidRDefault="000F0ADC" w:rsidP="005C70DD">
      <w:pPr>
        <w:spacing w:line="360" w:lineRule="auto"/>
        <w:rPr>
          <w:rFonts w:ascii="Times New Roman" w:hAnsi="Times New Roman" w:cs="Times New Roman"/>
        </w:rPr>
      </w:pPr>
      <w:proofErr w:type="spellStart"/>
      <w:r w:rsidRPr="005E32F5">
        <w:rPr>
          <w:rFonts w:ascii="Times New Roman" w:hAnsi="Times New Roman" w:cs="Times New Roman"/>
          <w:i/>
          <w:iCs/>
        </w:rPr>
        <w:t>wildera</w:t>
      </w:r>
      <w:r>
        <w:rPr>
          <w:rFonts w:ascii="Times New Roman" w:hAnsi="Times New Roman" w:cs="Times New Roman"/>
          <w:i/>
          <w:iCs/>
        </w:rPr>
        <w:t>e</w:t>
      </w:r>
      <w:proofErr w:type="spellEnd"/>
      <w:r>
        <w:rPr>
          <w:rFonts w:ascii="Times New Roman" w:hAnsi="Times New Roman" w:cs="Times New Roman"/>
          <w:i/>
          <w:iCs/>
        </w:rPr>
        <w:t xml:space="preserve">, </w:t>
      </w:r>
      <w:r w:rsidR="002F0DCF" w:rsidRPr="005E32F5">
        <w:rPr>
          <w:rFonts w:ascii="Times New Roman" w:hAnsi="Times New Roman" w:cs="Times New Roman"/>
        </w:rPr>
        <w:t xml:space="preserve">as we found subtle differences regarding the effective number of species between seasons or habitats, especially when taking relative abundance into account. The consistency of diversity seasonally and across habitats contrasts with seasonal studies on anurans, which typically find a decrease in alpha diversity of skin samples during cooler months </w:t>
      </w:r>
      <w:r w:rsidR="002F0DCF"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{"citationID":"QA3XPuT6","properties":{"formattedCitation":"(Hern\\uc0\\u225{}ndez-G\\uc0\\u243{}mez &amp; Hua, 2023; Le Sage et al., 2021; Tong et al., 2020)","plainCitation":"(Hernández-Gómez &amp; Hua, 2023; Le Sage et al., 2021; Tong et al., 2020)","noteIndex":0},"citationItems":[{"id":273,"uris":["http://zotero.org/users/6401767/items/VKRCI4YJ"],"itemData":{"id":273,"type":"article-journal","abstract":"Accurately predicting the impacts of climate change on wildlife health requires a deeper understanding of seasonal rhythms in host–pathogen interactions. The amphibian pathogen, Batrachochytrium dendrobatidis (Bd), exhibits seasonality in incidence; however, the role that biological rhythms in host defences play in defining this pattern remains largely unknown. The aim of this study was to examine whether host immune and microbiome defences against Bd correspond with infection risk and seasonal fluctuations in temperature and humidity. Over the course of a year, five populations of Southern leopard frogs (Rana [Lithobates] sphenocephala) in Tennessee, United States, were surveyed for host immunity, microbiome and pathogen dynamics. Frogs were swabbed for pathogen load and skin bacterial diversity and stimulated to release stored antimicrobial peptides (AMPs). Secretions were analysed to estimate total hydrophobic peptide concentrations, presence of known AMPs and effectiveness of Bd growth inhibition in vitro. The diversity and proportion of bacterial reads with a 99% match to sequences of isolates known to inhibit Bd growth in vitro were used as an estimate of predicted anti-Bd function of the skin microbiome. Batrachochytrium dendrobatidis dynamics followed the expected seasonal fluctuations—peaks in cooler months—which coincided with when host mucosal defences were most potent against Bd. Specifically, the concentration and expression of stored AMPs cycled synchronously with Bd dynamics. Although microbiome changes followed more linear trends over time, the proportion of bacteria that can function to inhibit Bd growth was greatest when risk of Bd infection was highest. We interpret the increase in peptide storage in the fall and the shift to a more anti-Bd microbiome over winter as a preparatory response for subsequent infection risk during the colder periods when AMP synthesis and bacterial growth is slow and pathogen pressure from this cool-adapted fungus is high. Given that a decrease in stored AMP concentrations as temperatures warm in spring likely means greater secretion rates, the subsequent decrease in prevalence suggests seasonality of Bd in this host may be in part regulated by annual immune rhythms, and dominated by the effects of temperature.","container-title":"Journal of Animal Ecology","DOI":"10.1111/1365-2656.13386","ISSN":"1365-2656","issue":"2","language":"en","note":"_eprint: https://onlinelibrary.wiley.com/doi/pdf/10.1111/1365-2656.13386","page":"542-554","source":"Wiley Online Library","title":"Preparatory immunity: Seasonality of mucosal skin defences and Batrachochytrium infections in Southern leopard frogs","title-short":"Preparatory immunity","volume":"90","author":[{"family":"Le Sage","given":"Emily H."},{"family":"LaBumbard","given":"Brandon C."},{"family":"Reinert","given":"Laura K."},{"family":"Miller","given":"Brian T."},{"family":"Richards-Zawacki","given":"Corinne L."},{"family":"Woodhams","given":"Doug C."},{"family":"Rollins-Smith","given":"Louise A."}],"issued":{"date-parts":[["2021"]]}}},{"id":1780,"uris":["http://zotero.org/users/6401767/items/HXI2SSAR"],"itemData":{"id":1780,"type":"article-journal","abstract":"This review summarizes the role of environmental factors on amphibian microbiotas at the organismal, population, community, ecosystem, and biosphere levels. At the organismal-level, tissue source, disease status, and experimental manipulations were the strongest predictors of variation in amphibian microbiotas. At the population-level, habitat quality, disease status, and ancestry were commonly documented as drivers of microbiota turnover. At the community-level, studies focused on how species’ niche influence microbiota structure and function. At the ecosystem-level, abiotic and biotic reservoirs were important contributors to microbiota structure. At the biosphere-level, databases, sample banks, and seminatural experiments were commonly used to describe microbiota assembly mechanisms among temperate and tropical amphibians. Collectively, our review demonstrates that environmental factors can influence microbiotas through diverse mechanisms at all biological scales. Importantly, while environmental mechanisms occurring at each of the different scales can interact to shape microbiotas, the past 10 years of research have mostly been characterized by targeted approaches at individual scales. Looking forward, efforts considering how environmental factors at multiple organizational levels interact to shape microbiota diversity and function are paramount. Generating opportunities for meaningful cross-disciplinary interactions and supporting infrastructure for research that spans biological scales are imperative to addressing this gap.","container-title":"FEMS Microbiology Reviews","DOI":"10.1093/femsre/fuad002","ISSN":"0168-6445","issue":"1","journalAbbreviation":"FEMS Microbiology Reviews","page":"fuad002","source":"Silverchair","title":"From the organismal to biosphere levels: environmental impacts on the amphibian microbiota","title-short":"From the organismal to biosphere levels","volume":"47","author":[{"family":"Hernández-Gómez","given":"Obed"},{"family":"Hua","given":"Jessica"}],"issued":{"date-parts":[["2023",1,1]]}}},{"id":178,"uris":["http://zotero.org/users/6401767/items/MEFHZUU6"],"itemData":{"id":178,"type":"article-journal","abstract":"Both the gut and skin microbiotas have important functions for amphibians. The gut microbiota plays an important role in both the health and evolution of the host species, whereas the role of skin microbiota in disease resistance is particularly important for amphibians. Many studies have examined the effects of environmental factors on the skin and gut microbiotas, but no study has yet explored the similarities between the skin and gut microbiotas. In this study, the gut and skin microbiotas of Rana dybowskii in summer and winter were investigated via high-throughput Illumina sequencing. The results showed that the alpha diversity of gut and skin microbiotas decreased significantly from summer to winter. In both seasons, the microbial composition and structure differed significantly between the gut and skin, and the similarities between these microbiotas differed between seasons. The pairwise distances between the gut and skin microbiotas were greater in winter than in summer. The ratio of core OTUs and shared OTUs to the sum of the OTUs in the gut and skin microbiotas in summer was significantly higher than that in winter. The similarities between the gut and skin microbiotas are important for understanding amphibian ecology and life history.","container-title":"Microbial Ecology","DOI":"10.1007/s00248-019-01466-9","ISSN":"0095-3628, 1432-184X","issue":"4","journalAbbreviation":"Microb Ecol","language":"en","page":"898-909","source":"DOI.org (Crossref)","title":"Effects of Seasonal Hibernation on the Similarities Between the Skin Microbiota and Gut Microbiota of an Amphibian (Rana dybowskii)","volume":"79","author":[{"family":"Tong","given":"Qing"},{"family":"Hu","given":"Zong-fu"},{"family":"Du","given":"Xiao-peng"},{"family":"Bie","given":"Jia"},{"family":"Wang","given":"Hong-bin"}],"issued":{"date-parts":[["2020",5]]}}}],"schema":"https://github.com/citation-style-language/schema/raw/master/csl-citation.json"} </w:instrText>
      </w:r>
      <w:r w:rsidR="002F0DCF" w:rsidRPr="005E32F5">
        <w:rPr>
          <w:rFonts w:ascii="Times New Roman" w:hAnsi="Times New Roman" w:cs="Times New Roman"/>
        </w:rPr>
        <w:fldChar w:fldCharType="separate"/>
      </w:r>
      <w:r w:rsidR="004D2321" w:rsidRPr="004D2321">
        <w:rPr>
          <w:rFonts w:ascii="Times New Roman" w:hAnsi="Times New Roman" w:cs="Times New Roman"/>
        </w:rPr>
        <w:t>(Hernández-Gómez &amp; Hua, 2023; Le Sage et al., 2021; Tong et al., 2020)</w:t>
      </w:r>
      <w:r w:rsidR="002F0DCF" w:rsidRPr="005E32F5">
        <w:rPr>
          <w:rFonts w:ascii="Times New Roman" w:hAnsi="Times New Roman" w:cs="Times New Roman"/>
        </w:rPr>
        <w:fldChar w:fldCharType="end"/>
      </w:r>
      <w:r w:rsidR="002F0DCF" w:rsidRPr="005E32F5">
        <w:rPr>
          <w:rFonts w:ascii="Times New Roman" w:hAnsi="Times New Roman" w:cs="Times New Roman"/>
        </w:rPr>
        <w:t xml:space="preserve">. That said, the overwintering of </w:t>
      </w:r>
      <w:r w:rsidR="002F0DCF" w:rsidRPr="005E32F5">
        <w:rPr>
          <w:rFonts w:ascii="Times New Roman" w:hAnsi="Times New Roman" w:cs="Times New Roman"/>
          <w:i/>
          <w:iCs/>
        </w:rPr>
        <w:t xml:space="preserve">Rana </w:t>
      </w:r>
      <w:proofErr w:type="spellStart"/>
      <w:r w:rsidR="002F0DCF" w:rsidRPr="005E32F5">
        <w:rPr>
          <w:rFonts w:ascii="Times New Roman" w:hAnsi="Times New Roman" w:cs="Times New Roman"/>
          <w:i/>
          <w:iCs/>
        </w:rPr>
        <w:t>dybowskii</w:t>
      </w:r>
      <w:proofErr w:type="spellEnd"/>
      <w:r w:rsidR="002F0DCF" w:rsidRPr="005E32F5">
        <w:rPr>
          <w:rFonts w:ascii="Times New Roman" w:hAnsi="Times New Roman" w:cs="Times New Roman"/>
        </w:rPr>
        <w:t xml:space="preserve"> occurs under ice where hosts undergo documented reduced metabolic rates. Similarly, the reduced alpha diversity observed in </w:t>
      </w:r>
      <w:proofErr w:type="spellStart"/>
      <w:r w:rsidR="002F0DCF" w:rsidRPr="005E32F5">
        <w:rPr>
          <w:rFonts w:ascii="Times New Roman" w:hAnsi="Times New Roman" w:cs="Times New Roman"/>
          <w:i/>
          <w:iCs/>
        </w:rPr>
        <w:t>Lithobates</w:t>
      </w:r>
      <w:proofErr w:type="spellEnd"/>
      <w:r w:rsidR="002F0DCF" w:rsidRPr="005E32F5">
        <w:rPr>
          <w:rFonts w:ascii="Times New Roman" w:hAnsi="Times New Roman" w:cs="Times New Roman"/>
          <w:i/>
          <w:iCs/>
        </w:rPr>
        <w:t xml:space="preserve"> palustris</w:t>
      </w:r>
      <w:r w:rsidR="002F0DCF" w:rsidRPr="005E32F5">
        <w:rPr>
          <w:rFonts w:ascii="Times New Roman" w:hAnsi="Times New Roman" w:cs="Times New Roman"/>
        </w:rPr>
        <w:t xml:space="preserve"> occurred in March, when amphibians had the lowest ambient body temperatures. </w:t>
      </w:r>
      <w:r w:rsidR="002F0DCF" w:rsidRPr="005E32F5">
        <w:rPr>
          <w:rFonts w:ascii="Times New Roman" w:hAnsi="Times New Roman" w:cs="Times New Roman"/>
          <w:i/>
          <w:iCs/>
        </w:rPr>
        <w:t xml:space="preserve">Eurycea </w:t>
      </w:r>
      <w:proofErr w:type="spellStart"/>
      <w:r w:rsidR="002F0DCF" w:rsidRPr="005E32F5">
        <w:rPr>
          <w:rFonts w:ascii="Times New Roman" w:hAnsi="Times New Roman" w:cs="Times New Roman"/>
          <w:i/>
          <w:iCs/>
        </w:rPr>
        <w:t>bislineata</w:t>
      </w:r>
      <w:proofErr w:type="spellEnd"/>
      <w:r w:rsidR="002F0DCF" w:rsidRPr="005E32F5">
        <w:rPr>
          <w:rFonts w:ascii="Times New Roman" w:hAnsi="Times New Roman" w:cs="Times New Roman"/>
        </w:rPr>
        <w:t xml:space="preserve">, a close relative to </w:t>
      </w:r>
      <w:r w:rsidR="002F0DCF" w:rsidRPr="005E32F5">
        <w:rPr>
          <w:rFonts w:ascii="Times New Roman" w:hAnsi="Times New Roman" w:cs="Times New Roman"/>
          <w:i/>
          <w:iCs/>
        </w:rPr>
        <w:t xml:space="preserve">E. </w:t>
      </w:r>
      <w:r w:rsidR="002F0DCF" w:rsidRPr="005E32F5">
        <w:rPr>
          <w:rFonts w:ascii="Times New Roman" w:hAnsi="Times New Roman" w:cs="Times New Roman"/>
        </w:rPr>
        <w:t xml:space="preserve">cf. </w:t>
      </w:r>
      <w:proofErr w:type="spellStart"/>
      <w:r w:rsidR="002F0DCF" w:rsidRPr="005E32F5">
        <w:rPr>
          <w:rFonts w:ascii="Times New Roman" w:hAnsi="Times New Roman" w:cs="Times New Roman"/>
          <w:i/>
          <w:iCs/>
        </w:rPr>
        <w:t>wilderae</w:t>
      </w:r>
      <w:proofErr w:type="spellEnd"/>
      <w:r w:rsidR="002F0DCF" w:rsidRPr="005E32F5">
        <w:rPr>
          <w:rFonts w:ascii="Times New Roman" w:hAnsi="Times New Roman" w:cs="Times New Roman"/>
        </w:rPr>
        <w:t xml:space="preserve">, is known to be mobile and partake in nest guarding and foraging during the winter months in aquatic habitats </w:t>
      </w:r>
      <w:r w:rsidR="002F0DCF"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{"citationID":"xutl0fFr","properties":{"formattedCitation":"(Ashton &amp; Ashton, 1978)","plainCitation":"(Ashton &amp; Ashton, 1978)","noteIndex":0},"citationItems":[{"id":1798,"uris":["http://zotero.org/users/6401767/items/9I4QAQ98"],"itemData":{"id":1798,"type":"article-journal","abstract":"In Preble County, Ohio, 20 Eurycea bislineata were tagged subcutaneously with Co&lt;sup&gt;60&lt;/sup&gt; and monitored between April, 1969 and February, 1970. Average movement between April and November, 1969 was 5.27 m. The inability to locate individuals frequently did not permit the plotting of home ranges, but the average area in which movement took place was less than 14 m&lt;sup&gt;2&lt;/sup&gt;. Salamanders began moving to winter retreats when the stream temperature dropped below 7.0 C. Within these retreats as many as 27 salamanders were found in an area of 30.0 cm&lt;sup&gt;2&lt;/sup&gt;. All salamanders were active and feeding during the winter.","container-title":"Journal of Herpetology","DOI":"10.2307/1563609","ISSN":"0022-1511","issue":"3","note":"publisher: Society for the Study of Amphibians and Reptiles","page":"295-298","source":"JSTOR","title":"Movements and Winter Behavior of Eurycea bislineata (Amphibia, Urodela, Plethodontidae)","volume":"12","author":[{"family":"Ashton","given":"Ray E."},{"family":"Ashton","given":"Patricia S."}],"issued":{"date-parts":[["1978"]]}}}],"schema":"https://github.com/citation-style-language/schema/raw/master/csl-citation.json"} </w:instrText>
      </w:r>
      <w:r w:rsidR="002F0DCF" w:rsidRPr="005E32F5">
        <w:rPr>
          <w:rFonts w:ascii="Times New Roman" w:hAnsi="Times New Roman" w:cs="Times New Roman"/>
        </w:rPr>
        <w:fldChar w:fldCharType="separate"/>
      </w:r>
      <w:r w:rsidR="004D2321">
        <w:rPr>
          <w:rFonts w:ascii="Times New Roman" w:hAnsi="Times New Roman" w:cs="Times New Roman"/>
          <w:noProof/>
        </w:rPr>
        <w:t>(Ashton &amp; Ashton, 1978)</w:t>
      </w:r>
      <w:r w:rsidR="002F0DCF" w:rsidRPr="005E32F5">
        <w:rPr>
          <w:rFonts w:ascii="Times New Roman" w:hAnsi="Times New Roman" w:cs="Times New Roman"/>
        </w:rPr>
        <w:fldChar w:fldCharType="end"/>
      </w:r>
      <w:r w:rsidR="002F0DCF" w:rsidRPr="005E32F5">
        <w:rPr>
          <w:rFonts w:ascii="Times New Roman" w:hAnsi="Times New Roman" w:cs="Times New Roman"/>
        </w:rPr>
        <w:t xml:space="preserve">. While activity is likely less, movement within microbe rich streams would still enable potential colonization from cover objects to hosts, which is additionally supplemented by flowing water. The observed increase in community evenness and turnover in the sampling season associated with changing habitats suggests salamander hosts are acquiring microbes year-round, even in the colder months. Thus, hosts are not metabolically reduced in such a way that prohibits the sustenance of resident populations, and microbes are not metabolically compromised to prevent dispersal and establishment on hosts in Southern Appalachian streams. </w:t>
      </w:r>
    </w:p>
    <w:p w14:paraId="4001D589" w14:textId="0F9D1B46" w:rsidR="002F0DCF" w:rsidRPr="005E32F5" w:rsidRDefault="002F0DCF" w:rsidP="005C70DD">
      <w:pPr>
        <w:spacing w:line="360" w:lineRule="auto"/>
        <w:rPr>
          <w:rFonts w:ascii="Times New Roman" w:hAnsi="Times New Roman" w:cs="Times New Roman"/>
        </w:rPr>
      </w:pPr>
      <w:r w:rsidRPr="005E32F5">
        <w:rPr>
          <w:rFonts w:ascii="Times New Roman" w:hAnsi="Times New Roman" w:cs="Times New Roman"/>
        </w:rPr>
        <w:lastRenderedPageBreak/>
        <w:tab/>
        <w:t xml:space="preserve">Bacterial communities on salamanders displayed high taxonomic and phylogenetic turnover, mirroring the results of other temporal studies of amphibians at varying sampling frequencies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{"citationID":"ZguWaBfD","properties":{"formattedCitation":"(Bletz, Perl, Bobowski, et al., 2017; Ellison et al., 2021; Sabino Pinto et al., 2017; Walke et al., 2021)","plainCitation":"(Bletz, Perl, Bobowski, et al., 2017; Ellison et al., 2021; Sabino Pinto et al., 2017; Walke et al., 2021)","noteIndex":0},"citationItems":[{"id":272,"uris":["http://zotero.org/users/6401767/items/4IU2W5NM"],"itemData":{"id":272,"type":"article-journal","abstract":"The amphibian skin microbiome has been the focus of numerous studies because of the protective effects that some bacteria provide against the pathogenic fungus Batrachochytrium dendrobatidis, which has caused a global panzootic among amphibians. However, the mechanisms driving community structure and function in the amphibian skin microbiome are still poorly understood, and longitudinal analyses of the skin microbiome have not yet been conducted in wild populations. In this study, we investigate longitudinal patterns in the skin microbiome of 19 individually marked adult frogs from two wild populations of the endangered Sierra Nevada yellow-legged frog (Rana sierrae), sampled over the course of 2 years. We found that individuals with low bacterial diversity (dominated by order Burkhorderiales) had significantly more stable bacterial communities than those with higher diversity. Amplicon sequence variants (ASVs) with high relative abundance were significantly less transient than those with low relative abundance, and ASVs with intermediate-level relative abundances experienced the greatest volatility over time. Based on these results, we suggest that efforts to develop probiotic treatments to combat B. dendrobatidis should focus on bacteria that are found at high relative abundances in some members of a population, as these strains are more likely to persist and remain stable in the long term.","container-title":"ISME Communications","DOI":"10.1038/s43705-021-00047-7","ISSN":"2730-6151","issue":"1","journalAbbreviation":"ISME COMMUN.","language":"en","license":"2021 The Author(s)","note":"number: 1\npublisher: Nature Publishing Group","page":"1-11","source":"www.nature.com","title":"Longitudinal patterns in the skin microbiome of wild, individually marked frogs from the Sierra Nevada, California","volume":"1","author":[{"family":"Ellison","given":"Silas"},{"family":"Knapp","given":"Roland"},{"family":"Vredenburg","given":"Vance"}],"issued":{"date-parts":[["2021",9,1]]}}},{"id":251,"uris":["http://zotero.org/users/6401767/items/IFBDY72F"],"itemData":{"id":251,"type":"article-journal","abstract":"Amphibians host diverse skin bacteria that have a role in pathogen defense, but these skin communities could change over time and impact this function. Here, we monitored individual Eastern red-spotted newts (Notophthalmus viridescens; N = 17) for 2 years in a field pond enclosure and assessed the effects of season and disturbance on skin bacterial community dynamics. We created disturbances by adding additional pond substrate to the enclosure at two timepoints. We planned to sample the skin bacterial community and metabolite profiles of each newt every 6 weeks; we ultimately sampled eight individuals at least six times. We used 16S rRNA gene amplicon sequencing to characterize the bacterial communities and HPLC-MS for metabolite profiling. We found that disturbance had a dramatic effect on skin bacterial communities and metabolite profiles, while season had an effect only using select metrics. There were seven core bacterial taxa (97% OTUs) that were found on all newts in all seasons, pre- and post-disturbance. Lastly, there was a correlation between bacterial and metabolite profiles post-disturbance, which was not observed pre-disturbance. This longitudinal study suggests that environmental disturbances can have lasting effects on skin bacterial communities that overwhelm seasonal changes, although the core bacteria remain relatively consistent over time.","container-title":"FEMS Microbiology Ecology","language":"en","source":"Zotero","title":"Seasonal changes and the unexpected impact of environmental disturbance on skin bacteria of individual amphibians in a natural habitat","volume":"97","author":[{"family":"Walke","given":"Jenifer B"},{"family":"Becker","given":"Matthew H"},{"family":"Krinos","given":"Arianna"},{"family":"Chang","given":"B"},{"family":"Santiago","given":"Celina"},{"family":"Umile","given":"Thomas P"},{"family":"Minbiole","given":"Kevin P C"},{"family":"Belden","given":"Lisa K"}],"issued":{"date-parts":[["2021"]]}}},{"id":459,"uris":["http://zotero.org/users/6401767/items/Q7YRD9LS"],"itemData":{"id":459,"type":"article-journal","abstract":"Host-associated microbiomes are increasingly recognized to contribute to host disease resistance; the temporal dynamics of their community structure and function, however, are poorly understood. We investigated the cutaneous bacterial communities of three newt species, Ichthyosaura alpestris, Lissotriton vulgaris and Triturus cristatus, at approximately weekly intervals for 3 months using 16S ribosomal RNA amplicon sequencing. We hypothesized cutaneous microbiota would vary across time, and that such variation would be linked to changes in predicted fungal-inhibitory function. We observed significant temporal variation within the aquatic phase, and also between aquatic and terrestrial phase newts. By keeping T. cristatus in mesocosms, we demonstrated that structural changes occurred similarly across individuals, highlighting the non-stochastic nature of the bacterial community succession. Temporal changes were mainly associated with fluctuations in relative abundance rather than full turnover of bacterial operational taxonomic units (OTUs). Newt skin microbe fluctuations were not correlated with that of pond microbiota; however, a portion of community variation was explained by environmental temperature. Using a database of amphibian skin bacteria that inhibit the pathogen Batrachochytrium dendrobatidis (Bd), we found that the proportion of reads associated with ‘potentially’ Bd-inhibitory OTUs did not vary temporally for two of three newt species, suggesting that protective function may be maintained despite temporal variation in community structure.","container-title":"The ISME Journal","DOI":"10.1038/ismej.2017.41","ISSN":"1751-7370","issue":"7","language":"en","license":"2017 International Society for Microbial Ecology","note":"number: 7\npublisher: Nature Publishing Group","page":"1521-1534","source":"www.nature.com","title":"Amphibian skin microbiota exhibits temporal variation in community structure but stability of predicted Bd -inhibitory function","volume":"11","author":[{"family":"Bletz","given":"Molly C."},{"family":"Perl","given":"R. G. Bina"},{"family":"Bobowski","given":"Bianca TC"},{"family":"Japke","given":"Laura M."},{"family":"Tebbe","given":"Christoph C."},{"family":"Dohrmann","given":"Anja B."},{"family":"Bhuju","given":"Sabin"},{"family":"Geffers","given":"Robert"},{"family":"Jarek","given":"Michael"},{"family":"Vences","given":"Miguel"}],"issued":{"date-parts":[["2017",7]]}}},{"id":529,"uris":["http://zotero.org/users/6401767/items/EE2VQ7WM"],"itemData":{"id":529,"type":"article-journal","abstract":"Animal-associated bacterial communities play essential roles for their host's ecology, physiology and health. Temporal dynamics of these communities are poorly understood, but might be of high relevance particularly for amphibians with a well-expressed biphasic biology of adults where the structure of their skin changes drastically between the aquatic and terrestrial phases. Here, we investigated the temporal dynamics of cutaneous bacterial communities of Lissotriton boscai and Triturus marmoratus by monthly sampling populations from a pond and surrounding terrestrial habitat near A Coruña, Spain. These communities were characterized by 16S rRNA amplicons from DNA isolated from skin swabs. Newt bacterial communities displayed variation at three levels: between larvae and aquatic adults, between adult life phases (terrestrial versus aquatic), and temporally within life phases. The skin bacterial communities tended to differ to a lesser extent temporally and between larvae and adults, and more strongly between life phases. Larvae had a higher proportion of reads associated with antifungal taxa compared to adults, while no differences were found among adult life phases. Terrestrial specimens exhibited the highest community diversity. The regular transitions of adult newts between aquatic and terrestrial environments might therefore contribute to the diversity of their skin microbiota and could increase disease resistance. This article is protected by copyright. All rights reserved.","container-title":"Environmental Microbiology","DOI":"10.1111/1462-2920.13762","journalAbbreviation":"Environmental Microbiology","source":"ResearchGate","title":"Temporal changes in cutaneous bacterial communities of terrestrial- and aquatic- phase newts (Amphibia)","volume":"19","author":[{"family":"Sabino Pinto","given":"Joana"},{"family":"Galán","given":"Pedro"},{"family":"Rodríguez","given":"Silvia"},{"family":"Bletz","given":"Molly"},{"family":"Bhuju","given":"Sabin"},{"family":"Geffers","given":"Robert"},{"family":"Jarek","given":"Michael"},{"family":"Vences","given":"Miguel"}],"issued":{"date-parts":[["2017",4,1]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(Bletz, Perl, Bobowski, et al., 2017; Ellison et al., 2021; Sabino Pinto et al., 2017; Walke et al., 2021)</w:t>
      </w:r>
      <w:r w:rsidRPr="005E32F5">
        <w:rPr>
          <w:rFonts w:ascii="Times New Roman" w:hAnsi="Times New Roman" w:cs="Times New Roman"/>
        </w:rPr>
        <w:fldChar w:fldCharType="end"/>
      </w:r>
      <w:r w:rsidRPr="005E32F5">
        <w:rPr>
          <w:rFonts w:ascii="Times New Roman" w:hAnsi="Times New Roman" w:cs="Times New Roman"/>
        </w:rPr>
        <w:t xml:space="preserve">. While some of this could be attributed to the lack of repeated sampling of the same individuals, </w:t>
      </w:r>
      <w:r w:rsidRPr="00FA442E">
        <w:rPr>
          <w:rFonts w:ascii="Times New Roman" w:hAnsi="Times New Roman" w:cs="Times New Roman"/>
        </w:rPr>
        <w:t>Bletz et al. (2017)</w:t>
      </w:r>
      <w:r w:rsidRPr="005E32F5">
        <w:rPr>
          <w:rFonts w:ascii="Times New Roman" w:hAnsi="Times New Roman" w:cs="Times New Roman"/>
        </w:rPr>
        <w:t xml:space="preserve"> observed equally high turnover rates temporally in the </w:t>
      </w:r>
      <w:r w:rsidRPr="005E32F5">
        <w:rPr>
          <w:rFonts w:ascii="Times New Roman" w:hAnsi="Times New Roman" w:cs="Times New Roman"/>
          <w:i/>
          <w:iCs/>
        </w:rPr>
        <w:t xml:space="preserve">T. </w:t>
      </w:r>
      <w:proofErr w:type="spellStart"/>
      <w:r w:rsidRPr="005E32F5">
        <w:rPr>
          <w:rFonts w:ascii="Times New Roman" w:hAnsi="Times New Roman" w:cs="Times New Roman"/>
          <w:i/>
          <w:iCs/>
        </w:rPr>
        <w:t>cristatus</w:t>
      </w:r>
      <w:proofErr w:type="spellEnd"/>
      <w:r w:rsidRPr="005E32F5">
        <w:rPr>
          <w:rFonts w:ascii="Times New Roman" w:hAnsi="Times New Roman" w:cs="Times New Roman"/>
          <w:i/>
          <w:iCs/>
        </w:rPr>
        <w:t xml:space="preserve"> </w:t>
      </w:r>
      <w:r w:rsidRPr="005E32F5">
        <w:rPr>
          <w:rFonts w:ascii="Times New Roman" w:hAnsi="Times New Roman" w:cs="Times New Roman"/>
        </w:rPr>
        <w:t>microbiome despite sampling the same individuals</w:t>
      </w:r>
      <w:r w:rsidRPr="005E32F5">
        <w:rPr>
          <w:rFonts w:ascii="Times New Roman" w:hAnsi="Times New Roman" w:cs="Times New Roman"/>
          <w:i/>
          <w:iCs/>
        </w:rPr>
        <w:t xml:space="preserve">. </w:t>
      </w:r>
      <w:r w:rsidRPr="005E32F5">
        <w:rPr>
          <w:rFonts w:ascii="Times New Roman" w:hAnsi="Times New Roman" w:cs="Times New Roman"/>
        </w:rPr>
        <w:t>Pairwise turnover appears to be consistently high between salamander hosts, and taxonomic and phylogenetic turnover in this study were significantly higher when hosts underwent habitat shifts. External microbiomes are sensitive to immigration, and host effects appear to be to be less influential than stochastic immigration from environmental reservoirs. While unconstrained ordinations of salamander samples show clustering associated with habitat, salamander-associated communities most resemble communities found beneath their immediate cover object, emphasizing the importance of immigration in shaping salamander-associated communities. Host-associated communities showed a subtle increase in evenness when hosts shifted habitats, consistent with habitat changes acting as an intermediate disturbance affecting both taxa represented and equity of abundances. This is consistent with stochastic immigration from a new regional pool (in the new habitat) coupled with declines and local extinction of resident species. Hosts remaining in the same habitat for consecutive sampling seasons had more uneven bacterial communities with shifts in relative abundance consistent with competition and continued immigration from the same or similar regional pool (in the same habitat). As a result, temporal constancy is restricted to broad-ranging taxa and a few OTUs displaying affinity for salamander conditions in otherwise transient communities. As such, any disturbance impacting the reservoir communities (land use change), or host habitat utilization will also be reflected in host-associated assemblages.</w:t>
      </w:r>
    </w:p>
    <w:p w14:paraId="2169BAE5" w14:textId="13A3FBB4" w:rsidR="002F0DCF" w:rsidRPr="005E32F5" w:rsidRDefault="002F0DCF" w:rsidP="005C70DD">
      <w:pPr>
        <w:spacing w:line="360" w:lineRule="auto"/>
        <w:rPr>
          <w:rFonts w:ascii="Times New Roman" w:hAnsi="Times New Roman" w:cs="Times New Roman"/>
        </w:rPr>
      </w:pPr>
      <w:r w:rsidRPr="005E32F5">
        <w:rPr>
          <w:rFonts w:ascii="Times New Roman" w:hAnsi="Times New Roman" w:cs="Times New Roman"/>
        </w:rPr>
        <w:tab/>
        <w:t xml:space="preserve">A ‘core microbiome’ describes an attempt to identify the ecologically and functionally important microbes associated with a host or environment and is often referenced for identifying important symbionts. Our results indicate phenomenological definitions of a common and temporal core microbiome based on the most abundant or prevalent taxa found on amphibian skin offer limited promise for identifying which microbes are candidates for potential positive associations with hosts, and the spatial/temporal trends of those associates. Instead, these definitions more broadly represent the most abundant microbes in reservoirs. We propose </w:t>
      </w:r>
      <w:r w:rsidRPr="005E32F5">
        <w:rPr>
          <w:rFonts w:ascii="Times New Roman" w:hAnsi="Times New Roman" w:cs="Times New Roman"/>
        </w:rPr>
        <w:lastRenderedPageBreak/>
        <w:t>identifying symbionts using statistical procedures coupled with thorough sampling of both hosts and environmental reservoirs to parse signatures of positive associations from environmental colonization</w:t>
      </w:r>
      <w:r w:rsidR="00A91B6E" w:rsidRPr="005E32F5">
        <w:rPr>
          <w:rFonts w:ascii="Times New Roman" w:hAnsi="Times New Roman" w:cs="Times New Roman"/>
        </w:rPr>
        <w:t>.</w:t>
      </w:r>
    </w:p>
    <w:p w14:paraId="703399A9" w14:textId="15454A4E" w:rsidR="002F0DCF" w:rsidRPr="005E32F5" w:rsidRDefault="002F0DCF" w:rsidP="005C70DD">
      <w:pPr>
        <w:spacing w:line="360" w:lineRule="auto"/>
        <w:ind w:firstLine="720"/>
        <w:rPr>
          <w:rFonts w:ascii="Times New Roman" w:hAnsi="Times New Roman" w:cs="Times New Roman"/>
        </w:rPr>
      </w:pPr>
      <w:r w:rsidRPr="005E32F5">
        <w:rPr>
          <w:rFonts w:ascii="Times New Roman" w:hAnsi="Times New Roman" w:cs="Times New Roman"/>
        </w:rPr>
        <w:t>Temporal trends in anti-fungal bacteria associated with amphibian hosts are relevant to conservation biology given the global decline of amphibians owing to Bd/</w:t>
      </w:r>
      <w:proofErr w:type="spellStart"/>
      <w:r w:rsidRPr="005E32F5">
        <w:rPr>
          <w:rFonts w:ascii="Times New Roman" w:hAnsi="Times New Roman" w:cs="Times New Roman"/>
        </w:rPr>
        <w:t>Bsal</w:t>
      </w:r>
      <w:proofErr w:type="spellEnd"/>
      <w:r w:rsidRPr="005E32F5">
        <w:rPr>
          <w:rFonts w:ascii="Times New Roman" w:hAnsi="Times New Roman" w:cs="Times New Roman"/>
        </w:rPr>
        <w:t xml:space="preserve"> chytridiomycosis. The Blue Ridge ecoregion is of particular concern due to high amphibian richness and density, introduction risk, </w:t>
      </w:r>
      <w:proofErr w:type="spellStart"/>
      <w:r w:rsidRPr="005E32F5">
        <w:rPr>
          <w:rFonts w:ascii="Times New Roman" w:hAnsi="Times New Roman" w:cs="Times New Roman"/>
        </w:rPr>
        <w:t>Bsal</w:t>
      </w:r>
      <w:proofErr w:type="spellEnd"/>
      <w:r w:rsidRPr="005E32F5">
        <w:rPr>
          <w:rFonts w:ascii="Times New Roman" w:hAnsi="Times New Roman" w:cs="Times New Roman"/>
        </w:rPr>
        <w:t xml:space="preserve"> climatic suitability, and species susceptibility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{"citationID":"3bNRVrX4","properties":{"formattedCitation":"(Grisnik et al., 2023)","plainCitation":"(Grisnik et al., 2023)","noteIndex":0},"citationItems":[{"id":1800,"uris":["http://zotero.org/users/6401767/items/BTRB7N67"],"itemData":{"id":1800,"type":"article-journal","abstract":"Worldwide, amphibians are threatened by several factors including climate change and pathogens. One emerging fungal pathogen, Batrachochytrium salamandrivorans (Bsal) has caused die-offs of European salamander populations, representing a conservation concern for hotspots of salamander diversity in the United States of America (U.S.A). While Bsal has not been detected in the U.S.A., previous work has suggested high invasion potential. As species susceptibility to Bsal is temperature dependent, we expect climate change to impact Bsal risk, which has not been explored. Here, we used predicted changes in environmental conditions, species-specific susceptibility estimates, and novel approaches assessing introduction risks to estimate current and future Bsal invasion risk. To generate predictions, we used geospatial data representing introduction risks, species susceptibility, and climatic suitability. Across climatic scenarios, our models predicted greatest overall risk of Bsal emergence in the southeastern and northwestern U.S.A. Bsal climatic suitability was greatest in the northwest, whereas the greatest number of susceptible species was predicted in the southeast. Under future scenarios, we predicted that climatically suitable areas for Bsal will be reduced by 3–14 % under the most extreme climate model.","container-title":"Biological Conservation","DOI":"10.1016/j.biocon.2023.110181","ISSN":"0006-3207","journalAbbreviation":"Biological Conservation","page":"110181","source":"ScienceDirect","title":"Incorporating caudate species susceptibilities and climate change into models of &lt;i&gt;Batrachochytrium salamandrivorans&lt;/i&gt; risk in the United States of America","volume":"284","author":[{"family":"Grisnik","given":"Matthew"},{"family":"Gray","given":"Matthew J."},{"family":"Piovia-Scott","given":"Jonah"},{"family":"Carter","given":"Edward Davis"},{"family":"Sutton","given":"William B."}],"issued":{"date-parts":[["2023",8,1]]}}}],"schema":"https://github.com/citation-style-language/schema/raw/master/csl-citation.json"}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(Grisnik et al., 2023)</w:t>
      </w:r>
      <w:r w:rsidRPr="005E32F5">
        <w:rPr>
          <w:rFonts w:ascii="Times New Roman" w:hAnsi="Times New Roman" w:cs="Times New Roman"/>
        </w:rPr>
        <w:fldChar w:fldCharType="end"/>
      </w:r>
      <w:r w:rsidRPr="005E32F5">
        <w:rPr>
          <w:rFonts w:ascii="Times New Roman" w:hAnsi="Times New Roman" w:cs="Times New Roman"/>
        </w:rPr>
        <w:t xml:space="preserve">. Chytrid pathogens are more prevalent in aquatic environments and show evidence of temperature dependence making hosts particularly susceptible during cooler months in aquatic environments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{"citationID":"HH2SB0hn","properties":{"formattedCitation":"(Carter et al., 2021)","plainCitation":"(Carter et al., 2021)","noteIndex":0},"citationItems":[{"id":1802,"uris":["http://zotero.org/users/6401767/items/JB67A3GX"],"itemData":{"id":1802,"type":"article-journal","abstract":"Environmental temperature is a key factor driving various biological processes, including immune defenses and host-pathogen interactions. Here, we evaluated the effects of environmental temperature on the pathogenicity of the emerging fungal pathogen, Batrachochytrium salamandrivorans (Bsal), using controlled laboratory experiments, and measured components of host immune defense to identify regulating mechanisms. We found that adult and juvenile Notophthalmus viridescens died faster due to Bsal chytridiomycosis at 14°C than at 6 and 22°C. Pathogen replication rates, total available proteins on the skin, and microbiome composition likely drove these relationships. Temperature-dependent skin microbiome composition in our laboratory experiments matched seasonal trends in wild N. viridescens, adding validity to these results. We also found that hydrophobic peptide production after two months post-exposure to Bsal was reduced in infected animals compared to controls, perhaps due to peptide release earlier in infection or impaired granular gland function in diseased animals. Using our temperature-dependent susceptibility results, we performed a geographic analysis that revealed N. viridescens populations in the northeastern United States and southeastern Canada are at greatest risk for Bsal invasion, which shifted risk north compared to previous assessments. Our results indicate that environmental temperature will play a key role in the epidemiology of Bsal and provide evidence that temperature manipulations may be a viable disease management strategy.","container-title":"PLOS Pathogens","DOI":"10.1371/journal.ppat.1009234","ISSN":"1553-7374","issue":"2","journalAbbreviation":"PLOS Pathogens","language":"en","note":"publisher: Public Library of Science","page":"e1009234","source":"PLoS Journals","title":"Winter is coming–Temperature affects immune defenses and susceptibility to Batrachochytrium salamandrivorans","volume":"17","author":[{"family":"Carter","given":"Edward Davis"},{"family":"Bletz","given":"Molly C."},{"family":"Sage","given":"Mitchell Le"},{"family":"LaBumbard","given":"Brandon"},{"family":"Rollins-Smith","given":"Louise A."},{"family":"Woodhams","given":"Douglas C."},{"family":"Miller","given":"Debra L."},{"family":"Gray","given":"Matthew J."}],"issued":{"date-parts":[["2021",2,18]]}}}],"schema":"https://github.com/citation-style-language/schema/raw/master/csl-citation.json"}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(Carter et al., 2021)</w:t>
      </w:r>
      <w:r w:rsidRPr="005E32F5">
        <w:rPr>
          <w:rFonts w:ascii="Times New Roman" w:hAnsi="Times New Roman" w:cs="Times New Roman"/>
        </w:rPr>
        <w:fldChar w:fldCharType="end"/>
      </w:r>
      <w:r w:rsidRPr="005E32F5">
        <w:rPr>
          <w:rFonts w:ascii="Times New Roman" w:hAnsi="Times New Roman" w:cs="Times New Roman"/>
        </w:rPr>
        <w:t xml:space="preserve">. Members of </w:t>
      </w:r>
      <w:r w:rsidRPr="005E32F5">
        <w:rPr>
          <w:rFonts w:ascii="Times New Roman" w:hAnsi="Times New Roman" w:cs="Times New Roman"/>
          <w:i/>
          <w:iCs/>
        </w:rPr>
        <w:t>Eurycea</w:t>
      </w:r>
      <w:r w:rsidRPr="005E32F5">
        <w:rPr>
          <w:rFonts w:ascii="Times New Roman" w:hAnsi="Times New Roman" w:cs="Times New Roman"/>
        </w:rPr>
        <w:t xml:space="preserve"> have shown species and population variation in susceptibility and lethality to </w:t>
      </w:r>
      <w:proofErr w:type="spellStart"/>
      <w:r w:rsidRPr="005E32F5">
        <w:rPr>
          <w:rFonts w:ascii="Times New Roman" w:hAnsi="Times New Roman" w:cs="Times New Roman"/>
        </w:rPr>
        <w:t>Bsal</w:t>
      </w:r>
      <w:proofErr w:type="spellEnd"/>
      <w:r w:rsidRPr="005E32F5">
        <w:rPr>
          <w:rFonts w:ascii="Times New Roman" w:hAnsi="Times New Roman" w:cs="Times New Roman"/>
        </w:rPr>
        <w:t>, ranging from susceptible yet experiencing no mortality (</w:t>
      </w:r>
      <w:r w:rsidRPr="005E32F5">
        <w:rPr>
          <w:rFonts w:ascii="Times New Roman" w:hAnsi="Times New Roman" w:cs="Times New Roman"/>
          <w:i/>
          <w:iCs/>
        </w:rPr>
        <w:t xml:space="preserve">Eurycea </w:t>
      </w:r>
      <w:proofErr w:type="spellStart"/>
      <w:r w:rsidRPr="005E32F5">
        <w:rPr>
          <w:rFonts w:ascii="Times New Roman" w:hAnsi="Times New Roman" w:cs="Times New Roman"/>
          <w:i/>
          <w:iCs/>
        </w:rPr>
        <w:t>lucifuga</w:t>
      </w:r>
      <w:proofErr w:type="spellEnd"/>
      <w:r w:rsidRPr="005E32F5">
        <w:rPr>
          <w:rFonts w:ascii="Times New Roman" w:hAnsi="Times New Roman" w:cs="Times New Roman"/>
        </w:rPr>
        <w:t>) to populational variability in susceptibility and mortality (</w:t>
      </w:r>
      <w:r w:rsidRPr="005E32F5">
        <w:rPr>
          <w:rFonts w:ascii="Times New Roman" w:hAnsi="Times New Roman" w:cs="Times New Roman"/>
          <w:i/>
          <w:iCs/>
        </w:rPr>
        <w:t xml:space="preserve">Eurycea </w:t>
      </w:r>
      <w:proofErr w:type="spellStart"/>
      <w:r w:rsidRPr="005E32F5">
        <w:rPr>
          <w:rFonts w:ascii="Times New Roman" w:hAnsi="Times New Roman" w:cs="Times New Roman"/>
          <w:i/>
          <w:iCs/>
        </w:rPr>
        <w:t>wilderae</w:t>
      </w:r>
      <w:proofErr w:type="spellEnd"/>
      <w:r w:rsidRPr="005E32F5">
        <w:rPr>
          <w:rFonts w:ascii="Times New Roman" w:hAnsi="Times New Roman" w:cs="Times New Roman"/>
        </w:rPr>
        <w:t xml:space="preserve">), with some variability confounded by captive-rearing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{"citationID":"e9oz42aQ","properties":{"formattedCitation":"(Carter et al., 2020)","plainCitation":"(Carter et al., 2020)","noteIndex":0},"citationItems":[{"id":422,"uris":["http://zotero.org/users/6401767/items/RHAPD48Z"],"itemData":{"id":422,"type":"article-journal","abstract":"The emerging fungal pathogen, Batrachochytrium salamandrivorans (Bsal), is a significant conservation threat to salamander biodiversity in Europe, although its potential to affect North American species is poorly understood. We tested the susceptibility of two genera (Eurycea and Pseudotriton) and three populations of lungless salamanders (Plethodontidae) to Bsal. All species became infected with Bsal and two (Pseudotriton ruber and Eurycea wilderae) developed chytridiomycosis. We also documented that susceptibility of E. wilderae differed among populations. Regardless of susceptibility, all species reduced feeding when exposed to Bsal at the highest zoospore dose, and P. ruber and one population of E. wilderae used cover objects less. Our results indicate that Bsal invasion in eastern North America could have significant negative impacts on endemic lungless salamander populations. Future conservation efforts should include surveillance for Bsal in the wild and in captivity, and championing legislation that requires and subsidizes pathogen-free trade of amphibians.","container-title":"Conservation Letters","DOI":"10.1111/conl.12675","ISSN":"1755-263X","issue":"1","language":"en","note":"_eprint: https://onlinelibrary.wiley.com/doi/pdf/10.1111/conl.12675","page":"e12675","source":"Wiley Online Library","title":"Conservation risk of Batrachochytrium salamandrivorans to endemic lungless salamanders","volume":"13","author":[{"family":"Carter","given":"Edward Davis"},{"family":"Miller","given":"Debra L."},{"family":"Peterson","given":"Anna C."},{"family":"Sutton","given":"William B."},{"family":"Cusaac","given":"Joseph Patrick W."},{"family":"Spatz","given":"Jennifer A."},{"family":"Rollins-Smith","given":"Louise"},{"family":"Reinert","given":"Laura"},{"family":"Bohanon","given":"Markese"},{"family":"Williams","given":"Lori A."},{"family":"Upchurch","given":"Andrea"},{"family":"Gray","given":"Matthew J."}],"issued":{"date-parts":[["2020"]]}}}],"schema":"https://github.com/citation-style-language/schema/raw/master/csl-citation.json"}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(Carter et al., 2020)</w:t>
      </w:r>
      <w:r w:rsidRPr="005E32F5">
        <w:rPr>
          <w:rFonts w:ascii="Times New Roman" w:hAnsi="Times New Roman" w:cs="Times New Roman"/>
        </w:rPr>
        <w:fldChar w:fldCharType="end"/>
      </w:r>
      <w:r w:rsidRPr="005E32F5">
        <w:rPr>
          <w:rFonts w:ascii="Times New Roman" w:hAnsi="Times New Roman" w:cs="Times New Roman"/>
        </w:rPr>
        <w:t xml:space="preserve">. In the present study, temporal trends of microbes matching isolates associated with chytrid-inhibiting properties indicate varying patterns of environmental transmission and persistence. We found both a decrease in prevalence (detection) and relative abundance of anti-Bd on aquatically captured salamanders, with the relative abundance of defensive OTUs peaking on hosts in terrestrial sampling seasons (particularly fall) and then declining in the aquatic season. This suggests antifungal capabilities are more prevalent in terrestrial habitats in the Blue Ridge </w:t>
      </w:r>
      <w:r w:rsidR="00447FC5" w:rsidRPr="005E32F5">
        <w:rPr>
          <w:rFonts w:ascii="Times New Roman" w:hAnsi="Times New Roman" w:cs="Times New Roman"/>
        </w:rPr>
        <w:t xml:space="preserve">and that defensive OTUs </w:t>
      </w:r>
      <w:proofErr w:type="gramStart"/>
      <w:r w:rsidR="00447FC5" w:rsidRPr="005E32F5">
        <w:rPr>
          <w:rFonts w:ascii="Times New Roman" w:hAnsi="Times New Roman" w:cs="Times New Roman"/>
        </w:rPr>
        <w:t>are capable of colonizing</w:t>
      </w:r>
      <w:proofErr w:type="gramEnd"/>
      <w:r w:rsidR="00447FC5" w:rsidRPr="005E32F5">
        <w:rPr>
          <w:rFonts w:ascii="Times New Roman" w:hAnsi="Times New Roman" w:cs="Times New Roman"/>
        </w:rPr>
        <w:t xml:space="preserve"> the hosts from reservoirs.</w:t>
      </w:r>
      <w:r w:rsidRPr="005E32F5">
        <w:rPr>
          <w:rFonts w:ascii="Times New Roman" w:hAnsi="Times New Roman" w:cs="Times New Roman"/>
        </w:rPr>
        <w:t xml:space="preserve"> </w:t>
      </w:r>
    </w:p>
    <w:p w14:paraId="069AEAA0" w14:textId="117A388F" w:rsidR="002F0DCF" w:rsidRPr="005E32F5" w:rsidRDefault="002F0DCF" w:rsidP="005966F4">
      <w:pPr>
        <w:spacing w:line="360" w:lineRule="auto"/>
        <w:ind w:firstLine="720"/>
        <w:rPr>
          <w:rFonts w:ascii="Times New Roman" w:hAnsi="Times New Roman" w:cs="Times New Roman"/>
        </w:rPr>
      </w:pPr>
      <w:r w:rsidRPr="005E32F5">
        <w:rPr>
          <w:rFonts w:ascii="Times New Roman" w:hAnsi="Times New Roman" w:cs="Times New Roman"/>
        </w:rPr>
        <w:t xml:space="preserve">Defensive OTUs were </w:t>
      </w:r>
      <w:proofErr w:type="gramStart"/>
      <w:r w:rsidRPr="005E32F5">
        <w:rPr>
          <w:rFonts w:ascii="Times New Roman" w:hAnsi="Times New Roman" w:cs="Times New Roman"/>
        </w:rPr>
        <w:t>more scarce</w:t>
      </w:r>
      <w:proofErr w:type="gramEnd"/>
      <w:r w:rsidRPr="005E32F5">
        <w:rPr>
          <w:rFonts w:ascii="Times New Roman" w:hAnsi="Times New Roman" w:cs="Times New Roman"/>
        </w:rPr>
        <w:t xml:space="preserve"> in aquatic habitats, and those that were detected were far less abundant. Despite the large turnover of the </w:t>
      </w:r>
      <w:r w:rsidRPr="005E32F5">
        <w:rPr>
          <w:rFonts w:ascii="Times New Roman" w:hAnsi="Times New Roman" w:cs="Times New Roman"/>
          <w:i/>
          <w:iCs/>
        </w:rPr>
        <w:t>Eurycea</w:t>
      </w:r>
      <w:r w:rsidRPr="005E32F5">
        <w:rPr>
          <w:rFonts w:ascii="Times New Roman" w:hAnsi="Times New Roman" w:cs="Times New Roman"/>
        </w:rPr>
        <w:t xml:space="preserve"> skin microbiome seasonally and a decrease in anti-Bd richness on hosts in aquatic habitats, we found evidence for the persistence of defensive OTUs on salamander skin even when they were extremely rare in environmental samples. Salamander skin appears to actively or passively favor bacteria with antifungal metabolites. Twenty-one out of thirty-eight defensive OTUs showed lower temporal variability on salamanders than cover objects, and eight OTUs were statistically identified to have positive associations with hosts. Of these eight, four were in the top six most abundant anti-Bd taxa and belonged to </w:t>
      </w:r>
      <w:r w:rsidRPr="005E32F5">
        <w:rPr>
          <w:rFonts w:ascii="Times New Roman" w:hAnsi="Times New Roman" w:cs="Times New Roman"/>
          <w:i/>
          <w:iCs/>
        </w:rPr>
        <w:t>Pseudomonas</w:t>
      </w:r>
      <w:r w:rsidRPr="005E32F5">
        <w:rPr>
          <w:rFonts w:ascii="Times New Roman" w:hAnsi="Times New Roman" w:cs="Times New Roman"/>
        </w:rPr>
        <w:t xml:space="preserve">, </w:t>
      </w:r>
      <w:r w:rsidRPr="005E32F5">
        <w:rPr>
          <w:rFonts w:ascii="Times New Roman" w:hAnsi="Times New Roman" w:cs="Times New Roman"/>
          <w:i/>
          <w:iCs/>
        </w:rPr>
        <w:t>Stenotrophomonas</w:t>
      </w:r>
      <w:r w:rsidRPr="005E32F5">
        <w:rPr>
          <w:rFonts w:ascii="Times New Roman" w:hAnsi="Times New Roman" w:cs="Times New Roman"/>
        </w:rPr>
        <w:t xml:space="preserve">, </w:t>
      </w:r>
      <w:r w:rsidRPr="005E32F5">
        <w:rPr>
          <w:rFonts w:ascii="Times New Roman" w:hAnsi="Times New Roman" w:cs="Times New Roman"/>
          <w:i/>
          <w:iCs/>
        </w:rPr>
        <w:t>Rhizobium</w:t>
      </w:r>
      <w:r w:rsidRPr="005E32F5">
        <w:rPr>
          <w:rFonts w:ascii="Times New Roman" w:hAnsi="Times New Roman" w:cs="Times New Roman"/>
        </w:rPr>
        <w:t xml:space="preserve">, and </w:t>
      </w:r>
      <w:proofErr w:type="spellStart"/>
      <w:r w:rsidRPr="005E32F5">
        <w:rPr>
          <w:rFonts w:ascii="Times New Roman" w:hAnsi="Times New Roman" w:cs="Times New Roman"/>
          <w:i/>
          <w:iCs/>
        </w:rPr>
        <w:t>Janthinobacterium</w:t>
      </w:r>
      <w:proofErr w:type="spellEnd"/>
      <w:r w:rsidRPr="005E32F5">
        <w:rPr>
          <w:rFonts w:ascii="Times New Roman" w:hAnsi="Times New Roman" w:cs="Times New Roman"/>
        </w:rPr>
        <w:t xml:space="preserve">. While some defensive OTUs may colonize hosts from aquatic habitats, others show persistence on hosts </w:t>
      </w:r>
      <w:r w:rsidRPr="005E32F5">
        <w:rPr>
          <w:rFonts w:ascii="Times New Roman" w:hAnsi="Times New Roman" w:cs="Times New Roman"/>
        </w:rPr>
        <w:lastRenderedPageBreak/>
        <w:t xml:space="preserve">through affinity for salamander skin in the aquatic environment after colonizing from terrestrial reservoirs. </w:t>
      </w:r>
    </w:p>
    <w:p w14:paraId="0027A3C4" w14:textId="09E80A44" w:rsidR="002F0DCF" w:rsidRPr="005E32F5" w:rsidRDefault="002F0DCF" w:rsidP="005C70DD">
      <w:pPr>
        <w:spacing w:line="360" w:lineRule="auto"/>
        <w:ind w:firstLine="720"/>
        <w:rPr>
          <w:rFonts w:ascii="Times New Roman" w:hAnsi="Times New Roman" w:cs="Times New Roman"/>
        </w:rPr>
      </w:pPr>
      <w:r w:rsidRPr="005E32F5">
        <w:rPr>
          <w:rFonts w:ascii="Times New Roman" w:hAnsi="Times New Roman" w:cs="Times New Roman"/>
        </w:rPr>
        <w:t xml:space="preserve">Five OTUs in our dataset (0.027% of all OTUs) were consistent across all four core definitions, indicating they are commonly found within a sampling period and across time and space while also having statistical associations with salamander skin and potential functional relevance to hosts. These OTUs belonged to the genera </w:t>
      </w:r>
      <w:proofErr w:type="spellStart"/>
      <w:r w:rsidRPr="005E32F5">
        <w:rPr>
          <w:rFonts w:ascii="Times New Roman" w:hAnsi="Times New Roman" w:cs="Times New Roman"/>
          <w:i/>
          <w:iCs/>
        </w:rPr>
        <w:t>Janthinobacterium</w:t>
      </w:r>
      <w:proofErr w:type="spellEnd"/>
      <w:r w:rsidRPr="005E32F5">
        <w:rPr>
          <w:rFonts w:ascii="Times New Roman" w:hAnsi="Times New Roman" w:cs="Times New Roman"/>
        </w:rPr>
        <w:t xml:space="preserve">, </w:t>
      </w:r>
      <w:r w:rsidRPr="005E32F5">
        <w:rPr>
          <w:rFonts w:ascii="Times New Roman" w:hAnsi="Times New Roman" w:cs="Times New Roman"/>
          <w:i/>
          <w:iCs/>
        </w:rPr>
        <w:t>Stenotrophomonas</w:t>
      </w:r>
      <w:r w:rsidRPr="005E32F5">
        <w:rPr>
          <w:rFonts w:ascii="Times New Roman" w:hAnsi="Times New Roman" w:cs="Times New Roman"/>
        </w:rPr>
        <w:t xml:space="preserve">, </w:t>
      </w:r>
      <w:r w:rsidRPr="005E32F5">
        <w:rPr>
          <w:rFonts w:ascii="Times New Roman" w:hAnsi="Times New Roman" w:cs="Times New Roman"/>
          <w:i/>
          <w:iCs/>
        </w:rPr>
        <w:t>Pseudomonas</w:t>
      </w:r>
      <w:r w:rsidRPr="005E32F5">
        <w:rPr>
          <w:rFonts w:ascii="Times New Roman" w:hAnsi="Times New Roman" w:cs="Times New Roman"/>
        </w:rPr>
        <w:t xml:space="preserve">, </w:t>
      </w:r>
      <w:r w:rsidR="00910764">
        <w:rPr>
          <w:rFonts w:ascii="Times New Roman" w:hAnsi="Times New Roman" w:cs="Times New Roman"/>
        </w:rPr>
        <w:t xml:space="preserve">and </w:t>
      </w:r>
      <w:r w:rsidRPr="005E32F5">
        <w:rPr>
          <w:rFonts w:ascii="Times New Roman" w:hAnsi="Times New Roman" w:cs="Times New Roman"/>
          <w:i/>
          <w:iCs/>
        </w:rPr>
        <w:t>Rhizobium</w:t>
      </w:r>
      <w:r w:rsidRPr="005E32F5">
        <w:rPr>
          <w:rFonts w:ascii="Times New Roman" w:hAnsi="Times New Roman" w:cs="Times New Roman"/>
        </w:rPr>
        <w:t xml:space="preserve">. </w:t>
      </w:r>
      <w:proofErr w:type="spellStart"/>
      <w:r w:rsidRPr="005E32F5">
        <w:rPr>
          <w:rFonts w:ascii="Times New Roman" w:hAnsi="Times New Roman" w:cs="Times New Roman"/>
          <w:i/>
          <w:iCs/>
        </w:rPr>
        <w:t>Janthinobacterium</w:t>
      </w:r>
      <w:proofErr w:type="spellEnd"/>
      <w:r w:rsidRPr="005E32F5">
        <w:rPr>
          <w:rFonts w:ascii="Times New Roman" w:hAnsi="Times New Roman" w:cs="Times New Roman"/>
          <w:i/>
          <w:iCs/>
        </w:rPr>
        <w:t xml:space="preserve"> </w:t>
      </w:r>
      <w:r w:rsidRPr="005E32F5">
        <w:rPr>
          <w:rFonts w:ascii="Times New Roman" w:hAnsi="Times New Roman" w:cs="Times New Roman"/>
        </w:rPr>
        <w:t xml:space="preserve">isolated from a plethodontid salamander was the first documented host-associated isolate capable of inhibiting Bd in vitro and is commonly found in amphibian microbiome studies </w:t>
      </w:r>
      <w:r w:rsidR="000D5074">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{"citationID":"a1rkt5ff43u","properties":{"formattedCitation":"(Harris et al., 2009; Muletz et al., 2014)","plainCitation":"(Harris et al., 2009; Muletz et al., 2014)","noteIndex":0},"citationItems":[{"id":423,"uris":["http://zotero.org/users/6401767/items/3UXJ2WYL"],"itemData":{"id":423,"type":"article-journal","abstract":"Widespread population declines in terrestrial Plethodon salamanders occurred by the 1980s throughout the Appalachian Mountains, the center of global salamander diversity, with no evident recovery. We tested the hypothesis that the historic introduction and spread of the pathogenic fungus Batrachochytrium dendrobatidis (Bd) into the eastern US was followed by Plethodon population declines. We expected to detect elevated prevalence of Bd prior to population declines as observed for Central American plethodontids. We tested 1,498 Plethodon salamanders of 12 species (892 museum specimens, 606 wild individuals) for the presence of Bd, and tested 94 of those for Batrachochytrium salamandrivorans (Bs) and for ranavirus. Field samples were collected in 2011 from 48 field sites across a 767 km transect. Historic samples from museum specimens were collected at five sites with the greatest number and longest duration of collection (1957–987), four of which were sampled in the field in 2011. None of the museum specimens were positive for Bd, but four P. cinereus from field surveys were positive. The overall Bd prevalence from 1957–2011 for 12 Plethodon species sampled across a 757 km transect was 0.2% (95% CI 0.1–0.7%). All 94 samples were negative for Bs and ranavirus. We conclude that known amphibian pathogens are unlikely causes for declines in these Plethodon populations. Furthermore, these exceptionally low levels of Bd, in a region known to harbor Bd, may indicate that Plethodon specific traits limit Bd infection.","container-title":"PLOS ONE","DOI":"10.1371/journal.pone.0103728","ISSN":"1932-6203","issue":"8","journalAbbreviation":"PLOS ONE","language":"en","note":"publisher: Public Library of Science","page":"e103728","source":"PLoS Journals","title":"Unexpected Rarity of the Pathogen Batrachochytrium dendrobatidis in Appalachian Plethodon Salamanders: 1957–2011","title-short":"Unexpected Rarity of the Pathogen Batrachochytrium dendrobatidis in Appalachian Plethodon Salamanders","volume":"9","author":[{"family":"Muletz","given":"Carly R."},{"family":"Caruso","given":"Nicholas M."},{"family":"Fleischer","given":"Robert C."},{"family":"McDiarmid","given":"Roy W."},{"family":"Lips","given":"Karen R."}],"issued":{"date-parts":[["2014",8,1]]}}},{"id":95,"uris":["http://zotero.org/users/6401767/items/YP6DS34E"],"itemData":{"id":95,"type":"article-journal","abstract":"Emerging infectious diseases threaten human and wildlife populations. Altered ecological interactions between mutualistic microbes and hosts can result in disease, but an understanding of interactions between host, microbes and disease-causing organisms may lead to management strategies to affect disease outcomes. Many amphibian species in relatively pristine habitats are experiencing dramatic population declines and extinctions due to the skin disease chytridiomycosis, which is caused by the chytrid fungus Batrachochytrium dendrobatidis. Using a randomized, replicated experiment, we show that adding an antifungal bacterial species, Janthinobacterium lividum, found on several species of amphibians to the skins of the frog Rana muscosa prevented morbidity and mortality caused by the pathogen. The bacterial species produces the anti-chytrid metabolite violacein, which was found in much higher concentrations on frog skins in the treatments where J. lividum was added. Our results show that cutaneous microbes are a part of amphibians' innate immune system, the microbial community structure on frog skins is a determinant of disease outcome and altering microbial interactions on frog skins can prevent a lethal disease outcome. A bioaugmentation strategy may be an effective management tool to control chytridiomycosis in amphibian survival assurance colonies and in nature.","container-title":"The ISME Journal","DOI":"10.1038/ismej.2009.27","ISSN":"1751-7370","issue":"7","journalAbbreviation":"ISME J","language":"en","license":"2009 International Society for Microbial Ecology","note":"number: 7\npublisher: Nature Publishing Group","page":"818-824","source":"www.nature.com","title":"Skin microbes on frogs prevent morbidity and mortality caused by a lethal skin fungus","volume":"3","author":[{"family":"Harris","given":"Reid N."},{"family":"Brucker","given":"Robert M."},{"family":"Walke","given":"Jenifer B."},{"family":"Becker","given":"Matthew H."},{"family":"Schwantes","given":"Christian R."},{"family":"Flaherty","given":"Devon C."},{"family":"Lam","given":"Brianna A."},{"family":"Woodhams","given":"Douglas C."},{"family":"Briggs","given":"Cheryl J."},{"family":"Vredenburg","given":"Vance T."},{"family":"Minbiole","given":"Kevin P. C."}],"issued":{"date-parts":[["2009",7]]}}}],"schema":"https://github.com/citation-style-language/schema/raw/master/csl-citation.json"} </w:instrText>
      </w:r>
      <w:r w:rsidR="000D5074">
        <w:rPr>
          <w:rFonts w:ascii="Times New Roman" w:hAnsi="Times New Roman" w:cs="Times New Roman"/>
        </w:rPr>
        <w:fldChar w:fldCharType="separate"/>
      </w:r>
      <w:r w:rsidR="00CB244F">
        <w:rPr>
          <w:rFonts w:ascii="Times New Roman" w:hAnsi="Times New Roman" w:cs="Times New Roman"/>
        </w:rPr>
        <w:t>(Harris et al., 2009; Muletz et al., 2014)</w:t>
      </w:r>
      <w:r w:rsidR="000D5074">
        <w:rPr>
          <w:rFonts w:ascii="Times New Roman" w:hAnsi="Times New Roman" w:cs="Times New Roman"/>
        </w:rPr>
        <w:fldChar w:fldCharType="end"/>
      </w:r>
      <w:r w:rsidR="000D5074">
        <w:rPr>
          <w:rFonts w:ascii="Times New Roman" w:hAnsi="Times New Roman" w:cs="Times New Roman"/>
        </w:rPr>
        <w:t xml:space="preserve">. </w:t>
      </w:r>
      <w:r w:rsidRPr="005E32F5">
        <w:rPr>
          <w:rFonts w:ascii="Times New Roman" w:hAnsi="Times New Roman" w:cs="Times New Roman"/>
        </w:rPr>
        <w:t xml:space="preserve">Observed bioactivity against Bd in </w:t>
      </w:r>
      <w:proofErr w:type="spellStart"/>
      <w:r w:rsidRPr="005E32F5">
        <w:rPr>
          <w:rFonts w:ascii="Times New Roman" w:hAnsi="Times New Roman" w:cs="Times New Roman"/>
          <w:i/>
          <w:iCs/>
        </w:rPr>
        <w:t>Janthinobacterium</w:t>
      </w:r>
      <w:proofErr w:type="spellEnd"/>
      <w:r w:rsidRPr="005E32F5">
        <w:rPr>
          <w:rFonts w:ascii="Times New Roman" w:hAnsi="Times New Roman" w:cs="Times New Roman"/>
        </w:rPr>
        <w:t xml:space="preserve"> isolates is hypothesized to be linked to violacein production, with three variable genes (</w:t>
      </w:r>
      <w:proofErr w:type="spellStart"/>
      <w:r w:rsidRPr="007B5A0E">
        <w:rPr>
          <w:rFonts w:ascii="Times New Roman" w:hAnsi="Times New Roman" w:cs="Times New Roman"/>
          <w:i/>
          <w:iCs/>
        </w:rPr>
        <w:t>vioB</w:t>
      </w:r>
      <w:proofErr w:type="spellEnd"/>
      <w:r w:rsidRPr="005E32F5">
        <w:rPr>
          <w:rFonts w:ascii="Times New Roman" w:hAnsi="Times New Roman" w:cs="Times New Roman"/>
        </w:rPr>
        <w:t xml:space="preserve">, </w:t>
      </w:r>
      <w:proofErr w:type="spellStart"/>
      <w:r w:rsidRPr="007B5A0E">
        <w:rPr>
          <w:rFonts w:ascii="Times New Roman" w:hAnsi="Times New Roman" w:cs="Times New Roman"/>
          <w:i/>
          <w:iCs/>
        </w:rPr>
        <w:t>vioC</w:t>
      </w:r>
      <w:proofErr w:type="spellEnd"/>
      <w:r w:rsidRPr="005E32F5">
        <w:rPr>
          <w:rFonts w:ascii="Times New Roman" w:hAnsi="Times New Roman" w:cs="Times New Roman"/>
        </w:rPr>
        <w:t xml:space="preserve">, and </w:t>
      </w:r>
      <w:proofErr w:type="spellStart"/>
      <w:r w:rsidRPr="007B5A0E">
        <w:rPr>
          <w:rFonts w:ascii="Times New Roman" w:hAnsi="Times New Roman" w:cs="Times New Roman"/>
          <w:i/>
          <w:iCs/>
        </w:rPr>
        <w:t>vioD</w:t>
      </w:r>
      <w:proofErr w:type="spellEnd"/>
      <w:r w:rsidRPr="005E32F5">
        <w:rPr>
          <w:rFonts w:ascii="Times New Roman" w:hAnsi="Times New Roman" w:cs="Times New Roman"/>
        </w:rPr>
        <w:t xml:space="preserve">) potentially leading to strain level differences in inhibition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{"citationID":"eGQq0db7","properties":{"formattedCitation":"(Wax et al., 2023)","plainCitation":"(Wax et al., 2023)","noteIndex":0},"citationItems":[{"id":356,"uris":["http://zotero.org/users/6401767/items/NIB9JEKK"],"itemData":{"id":356,"type":"article-journal","abstract":"Chytridiomycosis, caused by Batrachochytrium dendrobatidis (Bd), is a skin disease associated with worldwide amphibian declines. Symbiotic microbes living on amphibian skin interact with Bd and may alter infection outcomes. We completed whole genome sequencing of 40 bacterial isolates cultured from the skin of four amphibian species in the Eastern US. Each isolate was tested in vitro for the ability to inhibit Bd growth. The aim of this study was to identify genomic differences among the isolates and generate hypotheses about the genomic underpinnings of Bd growth inhibition. We identified sixty-five gene families that were present in all 40 isolates. Screening for common biosynthetic gene clusters revealed that this set of isolates contained a wide variety of clusters; the two most abundant clusters with potential antifungal activity were siderophores (N=17 isolates) and Type III polyketide synthases (N=22 isolates). We then examined various subsets of the 22 isolates in the phylum Proteobacteria for genes encoding specific compounds that may inhibit fungal growth, including chitinase and violacein. We identified differences in Agrobacterium and Sphingomonas isolates in the chitinase genes that showed some association with anti-Bd activity, as well as variation in the violacein genes in the Janthinobacterium isolates. Using a comparative genomics approach, we generated several testable hypotheses about differences among bacterial isolates from amphibian skin communities that could contribute to variation in the ability to inhibit Bd growth. Further work is necessary to explore and uncover the various mechanisms utilized by amphibian skin bacterial isolates to inhibit Bd.","container-title":"PeerJ","DOI":"10.7717/peerj.15714","ISSN":"2167-8359","journalAbbreviation":"PeerJ","language":"en","note":"publisher: PeerJ Inc.","page":"e15714","source":"peerj.com","title":"Comparative genomics of bacteria from amphibian skin associated with inhibition of an amphibian fungal pathogen, Batrachochytrium dendrobatidis","volume":"11","author":[{"family":"Wax","given":"Noah"},{"family":"Walke","given":"Jenifer B."},{"family":"Haak","given":"David C."},{"family":"Belden","given":"Lisa K."}],"issued":{"date-parts":[["2023",8,22]]}}}],"schema":"https://github.com/citation-style-language/schema/raw/master/csl-citation.json"}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(Wax et al., 2023)</w:t>
      </w:r>
      <w:r w:rsidRPr="005E32F5">
        <w:rPr>
          <w:rFonts w:ascii="Times New Roman" w:hAnsi="Times New Roman" w:cs="Times New Roman"/>
        </w:rPr>
        <w:fldChar w:fldCharType="end"/>
      </w:r>
      <w:r w:rsidRPr="005E32F5">
        <w:rPr>
          <w:rFonts w:ascii="Times New Roman" w:hAnsi="Times New Roman" w:cs="Times New Roman"/>
        </w:rPr>
        <w:t xml:space="preserve">. Members of </w:t>
      </w:r>
      <w:r w:rsidRPr="005E32F5">
        <w:rPr>
          <w:rFonts w:ascii="Times New Roman" w:hAnsi="Times New Roman" w:cs="Times New Roman"/>
          <w:i/>
          <w:iCs/>
        </w:rPr>
        <w:t>Stenotrophomonas</w:t>
      </w:r>
      <w:r w:rsidRPr="005E32F5">
        <w:rPr>
          <w:rFonts w:ascii="Times New Roman" w:hAnsi="Times New Roman" w:cs="Times New Roman"/>
        </w:rPr>
        <w:t xml:space="preserve"> have also been linked to antifungal capabilities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{"citationID":"gNJgRsQ9","properties":{"formattedCitation":"(Barnes et al., 2020; Becker et al., 2015)","plainCitation":"(Barnes et al., 2020; Becker et al., 2015)","noteIndex":0},"citationItems":[{"id":174,"uris":["http://zotero.org/users/6401767/items/PL78WH5A"],"itemData":{"id":174,"type":"article-journal","abstract":"Variation in the microbiome among individual organisms may play a critical role in the relative susceptibility of those organisms to infection, disease and death. However, predicting microbiome function is difficult because of spatial and temporal variation in microbial diversity, and taxonomic diversity is not predictive of microbiome functional diversity. Addressing this issue may be particularly important when addressing pandemic diseases, such as the global amphibian die-off associated with Bd. Some of the most important factors in probiotic development for disease treatment are whether bacteria with desired function can be found on native amphibians in the local environment. To address this issue, we isolated, sequenced, and assayed the cutaneous bacterial communities of Plethodon cinereus along a gradient of land use change. Our results suggest that cutaneous community composition, but not overall diversity, change with changes in land use, but this does not correspond to significant change in Bd-inhibitory function. We found that Bd-inhibition is a functionally redundant trait, but that level of inhibition varies over phylogenetic, spatial, and temporal scales. This research provides further evidence for examining the whole microbial community, including biotic and abiotic interactions, when considering disease dynamics.","container-title":"Frontiers in Microbiology","DOI":"10.3389/fmicb.2020.00101","ISSN":"1664-302X","journalAbbreviation":"Front. Microbiol.","language":"English","note":"publisher: Frontiers","source":"Frontiers","title":"Predicting Microbiome Function Across Space Is Confounded by Strain-Level Differences and Functional Redundancy Across Taxa","URL":"https://www.frontiersin.org/articles/10.3389/fmicb.2020.00101/full","volume":"11","author":[{"family":"Barnes","given":"Elle M."},{"family":"Carter","given":"Erin L."},{"family":"Lewis","given":"J. D."}],"accessed":{"date-parts":[["2020",12,4]]},"issued":{"date-parts":[["2020"]]}}},{"id":293,"uris":["http://zotero.org/users/6401767/items/BLRUFAU5"],"itemData":{"id":293,"type":"article-journal","abstract":"The introduction of next-generation sequencing has allowed for greater understanding of community composition of symbiotic microbial communities. However, determining the function of individual members of these microbial communities still largely relies on culture-based methods. Here, we present results on the phylogenetic distribution of a defensive functional trait of cultured symbiotic bacteria associated with amphibians. Amphibians are host to a diverse community of cutaneous bacteria and some of these bacteria protect their host from the lethal fungal pathogen Batrachochytrium dendrobatidis (Bd) by secreting antifungal metabolites. We cultured over 450 bacterial isolates from the skins of Panamanian amphibian species and tested their interactions with Bd using an in vitro challenge assay. For a subset of isolates, we also completed coculture experiments and found that culturing isolates with Bd had no effect on inhibitory properties of the bacteria, but it significantly decreased metabolite secretion. In challenge assays, approximately 75% of the bacterial isolates inhibited Bd to some extent and these inhibitory isolates were widely distributed among all bacterial phyla. Although there was no clear phylogenetic signal of inhibition, three genera, Stenotrophomonas, Aeromonas and Pseudomonas, had a high proportion of inhibitory isolates (100%, 77% and 73%, respectively). Overall, our results demonstrate that antifungal properties are phylogenetically widespread in symbiotic microbial communities of Panamanian amphibians and that some functional redundancy for fungal inhibition occurs in these communities. We hope that these findings contribute to the discovery and development of probiotics for amphibians that can mitigate the threat of chytridiomycosis.","container-title":"Molecular Ecology","DOI":"10.1111/mec.13135","ISSN":"1365-294X","issue":"7","language":"en","note":"_eprint: https://onlinelibrary.wiley.com/doi/pdf/10.1111/mec.13135","page":"1628-1641","source":"Wiley Online Library","title":"Phylogenetic distribution of symbiotic bacteria from Panamanian amphibians that inhibit growth of the lethal fungal pathogen Batrachochytrium dendrobatidis","volume":"24","author":[{"family":"Becker","given":"Matthew H."},{"family":"Walke","given":"Jenifer B."},{"family":"Murrill","given":"Lindsey"},{"family":"Woodhams","given":"Douglas C."},{"family":"Reinert","given":"Laura K."},{"family":"Rollins-Smith","given":"Louise A."},{"family":"Burzynski","given":"Elizabeth A."},{"family":"Umile","given":"Thomas P."},{"family":"Minbiole","given":"Kevin P. C."},{"family":"Belden","given":"Lisa K."}],"issued":{"date-parts":[["2015"]]}}}],"schema":"https://github.com/citation-style-language/schema/raw/master/csl-citation.json"}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(Barnes et al., 2020; Becker et al., 2015)</w:t>
      </w:r>
      <w:r w:rsidRPr="005E32F5">
        <w:rPr>
          <w:rFonts w:ascii="Times New Roman" w:hAnsi="Times New Roman" w:cs="Times New Roman"/>
        </w:rPr>
        <w:fldChar w:fldCharType="end"/>
      </w:r>
      <w:r w:rsidRPr="005E32F5">
        <w:rPr>
          <w:rFonts w:ascii="Times New Roman" w:hAnsi="Times New Roman" w:cs="Times New Roman"/>
        </w:rPr>
        <w:t xml:space="preserve"> but have also been associated with Bd susceptibility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{"citationID":"yQakUDwf","properties":{"formattedCitation":"(Bates et al., 2022)","plainCitation":"(Bates et al., 2022)","noteIndex":0},"citationItems":[{"id":348,"uris":["http://zotero.org/users/6401767/items/QED3YFA6"],"itemData":{"id":348,"type":"article-journal","abstract":"The fungal pathogenBatrachochytrium dendrobatidis (Bd) threatens amphibian biodiversity and ecosystem stability worldwide. Amphibian skin microbial community structure has been linked to the clinical outcome of Bd infections, yet its overall functional importance is poorly understood.","container-title":"Microbiome","DOI":"10.1186/s40168-021-01215-6","ISSN":"2049-2618","issue":"1","journalAbbreviation":"Microbiome","page":"44","source":"BioMed Central","title":"Microbiome function predicts amphibian chytridiomycosis disease dynamics","volume":"10","author":[{"family":"Bates","given":"Kieran A."},{"family":"Sommer","given":"Ulf"},{"family":"Hopkins","given":"Kevin P."},{"family":"Shelton","given":"Jennifer M. G."},{"family":"Wierzbicki","given":"Claudia"},{"family":"Sergeant","given":"Christopher"},{"family":"Tapley","given":"Benjamin"},{"family":"Michaels","given":"Christopher J."},{"family":"Schmeller","given":"Dirk S."},{"family":"Loyau","given":"Adeline"},{"family":"Bosch","given":"Jaime"},{"family":"Viant","given":"Mark R."},{"family":"Harrison","given":"Xavier A."},{"family":"Garner","given":"Trenton W. J."},{"family":"Fisher","given":"Matthew C."}],"issued":{"date-parts":[["2022",3,10]]}}}],"schema":"https://github.com/citation-style-language/schema/raw/master/csl-citation.json"}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(Bates et al., 2022)</w:t>
      </w:r>
      <w:r w:rsidRPr="005E32F5">
        <w:rPr>
          <w:rFonts w:ascii="Times New Roman" w:hAnsi="Times New Roman" w:cs="Times New Roman"/>
        </w:rPr>
        <w:fldChar w:fldCharType="end"/>
      </w:r>
      <w:r w:rsidRPr="005E32F5">
        <w:rPr>
          <w:rFonts w:ascii="Times New Roman" w:hAnsi="Times New Roman" w:cs="Times New Roman"/>
        </w:rPr>
        <w:t>. This genus is consistently a dominant taxon on Plethodontid salamander hosts in Southern Appalachia (</w:t>
      </w:r>
      <w:r w:rsidR="0036226A">
        <w:rPr>
          <w:rFonts w:ascii="Times New Roman" w:hAnsi="Times New Roman" w:cs="Times New Roman"/>
        </w:rPr>
        <w:t>Ch. 1</w:t>
      </w:r>
      <w:r w:rsidRPr="005E32F5">
        <w:rPr>
          <w:rFonts w:ascii="Times New Roman" w:hAnsi="Times New Roman" w:cs="Times New Roman"/>
        </w:rPr>
        <w:t xml:space="preserve">) and has been also linked to venom production in cone snails and providing nutrients and plant growth hormones in the rhizosphere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{"citationID":"Lmb4yqdI","properties":{"formattedCitation":"(Ryan et al., 2009; Torres et al., 2017)","plainCitation":"(Ryan et al., 2009; Torres et al., 2017)","noteIndex":0},"citationItems":[{"id":410,"uris":["http://zotero.org/users/6401767/items/7E7CPEZH"],"itemData":{"id":410,"type":"article-journal","abstract":"Cone snails are biomedically important sources of peptide drugs, but it is not known whether snail-associated bacteria affect venom chemistry. To begin to answer this question, we performed 16S rRNA gene amplicon sequencing of eight cone snail species, comparing their microbiomes with each other and with those from a variety of other marine invertebrates. We show that the cone snail microbiome is distinct from those in other marine invertebrates and conserved in specimens from around the world, including the Philippines, Guam, California, and Florida. We found that all venom ducts examined contain diverse 16S rRNA gene sequences bearing closest similarity to Stenotrophomonas bacteria. These sequences represent specific symbionts that live in the lumen of the venom duct, where bioactive venom peptides are synthesized., IMPORTANCE In animals, symbiotic bacteria contribute critically to metabolism. Cone snails are renowned for the production of venoms that are used as medicines and as probes for biological study. In principle, symbiotic bacterial metabolism could either degrade or synthesize active venom components, and previous publications show that bacteria do indeed contribute small molecules to some venoms. Therefore, understanding symbiosis in cone snails will contribute to further drug discovery efforts. Here, we describe an unexpected, specific symbiosis between bacteria and cone snails from around the world.","container-title":"Applied and Environmental Microbiology","DOI":"10.1128/AEM.01418-17","ISSN":"0099-2240","issue":"23","journalAbbreviation":"Appl Environ Microbiol","note":"PMID: 28986377\nPMCID: PMC5691409","page":"e01418-17","source":"PubMed Central","title":"Stenotrophomonas-Like Bacteria Are Widespread Symbionts in Cone Snail Venom Ducts","volume":"83","author":[{"family":"Torres","given":"Joshua P."},{"family":"Tianero","given":"Maria Diarey"},{"family":"Robes","given":"Jose Miguel D."},{"family":"Kwan","given":"Jason C."},{"family":"Biggs","given":"Jason S."},{"family":"Concepcion","given":"Gisela P."},{"family":"Olivera","given":"Baldomero M."},{"family":"Haygood","given":"Margo G."},{"family":"Schmidt","given":"Eric W."}],"issued":{"date-parts":[["2017",11,16]]}}},{"id":357,"uris":["http://zotero.org/users/6401767/items/LEBTF346"],"itemData":{"id":357,"type":"article-journal","abstract":"Stenotrophomonas spp. are found throughout the environment, particularly in close association with plants.Currently, the genus comprises eight validly described species: Stenotrophomonas maltophilia, Stenotrophomonas nitritireducens, Stenotrophomonas rhizophila, Stenotrophomonas acidaminiphila, Stenotrophomonas chelatiphaga, Stenotrophomonas koreensis, Stenotrophomonas terrae and Stenotrophomonas humi.Stenotrophomonas spp. have an important ecological role in the nitrogen and sulphur cycles and several Stenotrophomonas spp. can engage in beneficial interactions with plants, promoting growth and protecting plants from attack.These bacteria can degrade many xenobiotic compounds and so have the potential to be agents for bioremediation.S. maltophilia is the only species of Stenotrophomonas that is known to cause human disease and is a cause of bacteraemia, septicaemia and severe lung infections in patients with cystic fibrosis.S. maltophilia has also been shown to possess a cell–cell signalling system that is mediated by a diffusible signal factor and is involved in modulating the production of extracellular protease, biofilm behaviour and virulence.Determination of the genome sequences of clinical and endophytic S. maltophilia strains has formed the basis for functional genomic analyses to test the contribution of specific functions to the tenacity of these bacteria in colonization, their broad resistance to antibiotics and their ability to enter into close associations with plants and humans.","container-title":"Nature Reviews Microbiology","DOI":"10.1038/nrmicro2163","ISSN":"1740-1534","issue":"7","journalAbbreviation":"Nat Rev Microbiol","language":"en","license":"2009 Springer Nature Limited","note":"number: 7\npublisher: Nature Publishing Group","page":"514-525","source":"www.nature.com","title":"The versatility and adaptation of bacteria from the genus Stenotrophomonas","volume":"7","author":[{"family":"Ryan","given":"Robert P."},{"family":"Monchy","given":"Sebastien"},{"family":"Cardinale","given":"Massimiliano"},{"family":"Taghavi","given":"Safiyh"},{"family":"Crossman","given":"Lisa"},{"family":"Avison","given":"Matthew B."},{"family":"Berg","given":"Gabriele"},{"family":"Lelie","given":"Daniel","non-dropping-particle":"van der"},{"family":"Dow","given":"J. Maxwell"}],"issued":{"date-parts":[["2009",7]]}}}],"schema":"https://github.com/citation-style-language/schema/raw/master/csl-citation.json"}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(Ryan et al., 2009; Torres et al., 2017)</w:t>
      </w:r>
      <w:r w:rsidRPr="005E32F5">
        <w:rPr>
          <w:rFonts w:ascii="Times New Roman" w:hAnsi="Times New Roman" w:cs="Times New Roman"/>
        </w:rPr>
        <w:fldChar w:fldCharType="end"/>
      </w:r>
      <w:r w:rsidRPr="005E32F5">
        <w:rPr>
          <w:rFonts w:ascii="Times New Roman" w:hAnsi="Times New Roman" w:cs="Times New Roman"/>
        </w:rPr>
        <w:t>. Given its bioactivity in lab experiments, high fidelity on salamander hosts, and low intra-genus diversity, this genus warrants further investigation regarding what mechanisms could facilitate symbiosis with hosts and potential benefits from association for both parties.</w:t>
      </w:r>
    </w:p>
    <w:p w14:paraId="3812C411" w14:textId="7377D254" w:rsidR="002F0DCF" w:rsidRPr="005E32F5" w:rsidRDefault="002F0DCF" w:rsidP="007B1A9E">
      <w:pPr>
        <w:spacing w:line="360" w:lineRule="auto"/>
        <w:ind w:firstLine="720"/>
        <w:rPr>
          <w:rFonts w:ascii="Times New Roman" w:hAnsi="Times New Roman" w:cs="Times New Roman"/>
        </w:rPr>
      </w:pPr>
      <w:r w:rsidRPr="005E32F5">
        <w:rPr>
          <w:rFonts w:ascii="Times New Roman" w:hAnsi="Times New Roman" w:cs="Times New Roman"/>
          <w:i/>
          <w:iCs/>
        </w:rPr>
        <w:t>Pseudomonas</w:t>
      </w:r>
      <w:r w:rsidRPr="005E32F5">
        <w:rPr>
          <w:rFonts w:ascii="Times New Roman" w:hAnsi="Times New Roman" w:cs="Times New Roman"/>
        </w:rPr>
        <w:t xml:space="preserve"> has been associated with anti-fungal capabilities for amphibian hosts, with Becker (2015) finding 73% of strains capable of Bd inhibitions. Similarly, nearly 40% of Pseudomonads isolated from salamander skin had defensive properties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{"citationID":"jPSIz95C","properties":{"formattedCitation":"(Barnes et al., 2020)","plainCitation":"(Barnes et al., 2020)","noteIndex":0},"citationItems":[{"id":174,"uris":["http://zotero.org/users/6401767/items/PL78WH5A"],"itemData":{"id":174,"type":"article-journal","abstract":"Variation in the microbiome among individual organisms may play a critical role in the relative susceptibility of those organisms to infection, disease and death. However, predicting microbiome function is difficult because of spatial and temporal variation in microbial diversity, and taxonomic diversity is not predictive of microbiome functional diversity. Addressing this issue may be particularly important when addressing pandemic diseases, such as the global amphibian die-off associated with Bd. Some of the most important factors in probiotic development for disease treatment are whether bacteria with desired function can be found on native amphibians in the local environment. To address this issue, we isolated, sequenced, and assayed the cutaneous bacterial communities of Plethodon cinereus along a gradient of land use change. Our results suggest that cutaneous community composition, but not overall diversity, change with changes in land use, but this does not correspond to significant change in Bd-inhibitory function. We found that Bd-inhibition is a functionally redundant trait, but that level of inhibition varies over phylogenetic, spatial, and temporal scales. This research provides further evidence for examining the whole microbial community, including biotic and abiotic interactions, when considering disease dynamics.","container-title":"Frontiers in Microbiology","DOI":"10.3389/fmicb.2020.00101","ISSN":"1664-302X","journalAbbreviation":"Front. Microbiol.","language":"English","note":"publisher: Frontiers","source":"Frontiers","title":"Predicting Microbiome Function Across Space Is Confounded by Strain-Level Differences and Functional Redundancy Across Taxa","URL":"https://www.frontiersin.org/articles/10.3389/fmicb.2020.00101/full","volume":"11","author":[{"family":"Barnes","given":"Elle M."},{"family":"Carter","given":"Erin L."},{"family":"Lewis","given":"J. D."}],"accessed":{"date-parts":[["2020",12,4]]},"issued":{"date-parts":[["2020"]]}}}],"schema":"https://github.com/citation-style-language/schema/raw/master/csl-citation.json"}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(Barnes et al., 2020)</w:t>
      </w:r>
      <w:r w:rsidRPr="005E32F5">
        <w:rPr>
          <w:rFonts w:ascii="Times New Roman" w:hAnsi="Times New Roman" w:cs="Times New Roman"/>
        </w:rPr>
        <w:fldChar w:fldCharType="end"/>
      </w:r>
      <w:r w:rsidRPr="005E32F5">
        <w:rPr>
          <w:rFonts w:ascii="Times New Roman" w:hAnsi="Times New Roman" w:cs="Times New Roman"/>
        </w:rPr>
        <w:t xml:space="preserve">. Host benefits attributed to </w:t>
      </w:r>
      <w:r w:rsidRPr="005E32F5">
        <w:rPr>
          <w:rFonts w:ascii="Times New Roman" w:hAnsi="Times New Roman" w:cs="Times New Roman"/>
          <w:i/>
          <w:iCs/>
        </w:rPr>
        <w:t>Pseudomonas</w:t>
      </w:r>
      <w:r w:rsidRPr="005E32F5">
        <w:rPr>
          <w:rFonts w:ascii="Times New Roman" w:hAnsi="Times New Roman" w:cs="Times New Roman"/>
        </w:rPr>
        <w:t xml:space="preserve"> are not restricted to antifungal capabilities, with a recent study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{"citationID":"8PP2qZxW","properties":{"formattedCitation":"(Brunetti et al., 2022)","plainCitation":"(Brunetti et al., 2022)","noteIndex":0},"citationItems":[{"id":255,"uris":["http://zotero.org/users/6401767/items/EYDY759D"],"itemData":{"id":255,"type":"article-journal","abstract":"The molecular bases for the symbiosis of the amphibian skin microbiome with its host are poorly understood. Here, we used the odor-producer Pseudomonas sp. MPFS and the treefrog Boana prasina as a model to explore bacterial genome determinants and the resulting mechanisms facilitating symbiosis. Pseudomonas sp. MPFS and its closest relatives, within a new clade of the P. fluoresens Group, have large genomes and were isolated from fishes and plants, suggesting environmental plasticity. We annotated 16 biosynthetic gene clusters from the complete genome sequence of this strain, including those encoding the synthesis of compounds with known antifungal activity and of odorous methoxypyrazines that likely mediate sexual interactions in Boana prasina. Comparative genomics of Pseudomonas also revealed that Pseudomonas sp. MPFS and its closest relatives have acquired specific resistance mechanisms against host antimicrobial peptides (AMPs), specifically two extra copies of a multidrug efflux pump and the same two-component regulatory systems known to trigger adaptive resistance to AMPs in P. aeruginosa. Subsequent molecular modeling indicated that these regulatory systems interact with an AMP identified in Boana prasina through the highly acidic surfaces of the proteins comprising their sensory domains. In agreement with a symbiotic relationship and a highly selective antibacterial function, this AMP did not inhibit the growth of Pseudomonas sp. MPFS but inhibited the growth of another Pseudomonas species and Escherichia coli in laboratory tests. This study provides deeper insights into the molecular interaction of the bacteria-amphibian symbiosis and highlights the role of specific adaptive resistance toward AMPs of the hosts.","container-title":"The ISME Journal","DOI":"10.1038/s41396-021-01121-7","ISSN":"1751-7370","issue":"3","journalAbbreviation":"ISME J","language":"en","license":"2021 The Author(s), under exclusive licence to International Society for Microbial Ecology","note":"number: 3\npublisher: Nature Publishing Group","page":"788-800","source":"www.nature.com","title":"Molecular basis of a bacterial-amphibian symbiosis revealed by comparative genomics, modeling, and functional testing","volume":"16","author":[{"family":"Brunetti","given":"Andrés E."},{"family":"Bunk","given":"Boyke"},{"family":"Lyra","given":"Mariana L."},{"family":"Fuzo","given":"Carlos A."},{"family":"Marani","given":"Mariela M."},{"family":"Spröer","given":"Cathrin"},{"family":"Haddad","given":"Célio F. B."},{"family":"Lopes","given":"Norberto P."},{"family":"Overmann","given":"Jörg"}],"issued":{"date-parts":[["2022",3]]}}}],"schema":"https://github.com/citation-style-language/schema/raw/master/csl-citation.json"}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(Brunetti et al., 2022)</w:t>
      </w:r>
      <w:r w:rsidRPr="005E32F5">
        <w:rPr>
          <w:rFonts w:ascii="Times New Roman" w:hAnsi="Times New Roman" w:cs="Times New Roman"/>
        </w:rPr>
        <w:fldChar w:fldCharType="end"/>
      </w:r>
      <w:r w:rsidRPr="005E32F5">
        <w:rPr>
          <w:rFonts w:ascii="Times New Roman" w:hAnsi="Times New Roman" w:cs="Times New Roman"/>
        </w:rPr>
        <w:t xml:space="preserve"> finding </w:t>
      </w:r>
      <w:r w:rsidRPr="005E32F5">
        <w:rPr>
          <w:rFonts w:ascii="Times New Roman" w:hAnsi="Times New Roman" w:cs="Times New Roman"/>
          <w:i/>
          <w:iCs/>
        </w:rPr>
        <w:t>Pseudomonas</w:t>
      </w:r>
      <w:r w:rsidRPr="005E32F5">
        <w:rPr>
          <w:rFonts w:ascii="Times New Roman" w:hAnsi="Times New Roman" w:cs="Times New Roman"/>
        </w:rPr>
        <w:t xml:space="preserve"> </w:t>
      </w:r>
      <w:r w:rsidRPr="005E32F5">
        <w:rPr>
          <w:rFonts w:ascii="Times New Roman" w:hAnsi="Times New Roman" w:cs="Times New Roman"/>
          <w:i/>
          <w:iCs/>
        </w:rPr>
        <w:t>sp.</w:t>
      </w:r>
      <w:r w:rsidRPr="005E32F5">
        <w:rPr>
          <w:rFonts w:ascii="Times New Roman" w:hAnsi="Times New Roman" w:cs="Times New Roman"/>
        </w:rPr>
        <w:t xml:space="preserve"> resulting in sex-specific scents in frogs and isolates possessing genomic modifications adapted for anti-microbial peptide resistance. Even more, this isolate was also capable of metabolizing macrocyclic acylcarnitine, a major metabolite secreted by hosts, as its sole carbon and nitrogen source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{"citationID":"IdlBMSiM","properties":{"formattedCitation":"(Brunetti et al., 2023)","plainCitation":"(Brunetti et al., 2023)","noteIndex":0},"citationItems":[{"id":1805,"uris":["http://zotero.org/users/6401767/items/LHAF77Z3"],"itemData":{"id":1805,"type":"article-journal","abstract":"The host-microbiome associations occurring on the skin of vertebrates signiﬁcantly inﬂuence hosts’ health. However, the factors mediating their interactions remain largely unknown. Herein, we used integrated technical and ecological frameworks to investigate the skin metabolites sustaining a beneﬁcial symbiosis between tree frogs and bacteria. We characterize macrocyclic acylcarnitines as the major metabolites secreted by the frogs’ skin and trace their origin to an enzymatic unbalance of carnitine palmitoyltransferases. We found that these compounds colocalize with bacteria on the skin surface and are mostly represented by members of the Pseudomonas community. We showed that Pseudomonas sp. MPFS isolated from frogs’ skin can exploit acylcarnitines as its sole carbon and nitrogen source, and this metabolic capability is widespread in Pseudomonas. We summarize frogs’ multiple mechanisms to ﬁlter environmental bacteria and highlight that acylcarnitines likely evolved for another function but were co-opted to provide nutritional beneﬁts to the symbionts.","container-title":"iScience","DOI":"10.1016/j.isci.2023.108109","ISSN":"25890042","issue":"11","journalAbbreviation":"iScience","language":"en","page":"108109","source":"DOI.org (Crossref)","title":"Host macrocyclic acylcarnitines mediate symbiotic interactions between frogs and their skin microbiome","volume":"26","author":[{"family":"Brunetti","given":"Andrés E."},{"family":"Lyra","given":"Mariana L."},{"family":"Bauermeister","given":"Anelize"},{"family":"Bunk","given":"Boyke"},{"family":"Boedeker","given":"Christian"},{"family":"Müsken","given":"Mathias"},{"family":"Neto","given":"Fausto Carnevale"},{"family":"Mendonça","given":"Jacqueline Nakau"},{"family":"Caraballo-Rodríguez","given":"Andrés Mauricio"},{"family":"Melo","given":"Weilan G.P."},{"family":"Pupo","given":"Mônica T."},{"family":"Haddad","given":"Célio F.B."},{"family":"Cabrera","given":"Gabriela M."},{"family":"Overmann","given":"Jörg"},{"family":"Lopes","given":"Norberto P."}],"issued":{"date-parts":[["2023",11]]}}}],"schema":"https://github.com/citation-style-language/schema/raw/master/csl-citation.json"}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(Brunetti et al., 2023)</w:t>
      </w:r>
      <w:r w:rsidRPr="005E32F5">
        <w:rPr>
          <w:rFonts w:ascii="Times New Roman" w:hAnsi="Times New Roman" w:cs="Times New Roman"/>
        </w:rPr>
        <w:fldChar w:fldCharType="end"/>
      </w:r>
      <w:r w:rsidRPr="005E32F5">
        <w:rPr>
          <w:rFonts w:ascii="Times New Roman" w:hAnsi="Times New Roman" w:cs="Times New Roman"/>
        </w:rPr>
        <w:t xml:space="preserve">. </w:t>
      </w:r>
      <w:r w:rsidRPr="005E32F5">
        <w:rPr>
          <w:rFonts w:ascii="Times New Roman" w:hAnsi="Times New Roman" w:cs="Times New Roman"/>
          <w:i/>
          <w:iCs/>
        </w:rPr>
        <w:t>Pseudomonas</w:t>
      </w:r>
      <w:r w:rsidRPr="005E32F5">
        <w:rPr>
          <w:rFonts w:ascii="Times New Roman" w:hAnsi="Times New Roman" w:cs="Times New Roman"/>
        </w:rPr>
        <w:t xml:space="preserve"> is a diverse </w:t>
      </w:r>
      <w:r w:rsidR="007B5A0E" w:rsidRPr="005E32F5">
        <w:rPr>
          <w:rFonts w:ascii="Times New Roman" w:hAnsi="Times New Roman" w:cs="Times New Roman"/>
        </w:rPr>
        <w:t>clade,</w:t>
      </w:r>
      <w:r w:rsidRPr="005E32F5">
        <w:rPr>
          <w:rFonts w:ascii="Times New Roman" w:hAnsi="Times New Roman" w:cs="Times New Roman"/>
        </w:rPr>
        <w:t xml:space="preserve"> and tight associations are likely limited to select strains that could engage in reciprocal selection despite environmental transmission. Symbiont fitness could increase from </w:t>
      </w:r>
      <w:r w:rsidRPr="005E32F5">
        <w:rPr>
          <w:rFonts w:ascii="Times New Roman" w:hAnsi="Times New Roman" w:cs="Times New Roman"/>
        </w:rPr>
        <w:lastRenderedPageBreak/>
        <w:t xml:space="preserve">enhanced dispersal by associating with a host and niche expansion in the ability to metabolize host secretory products, while host fitness could increase through sex-specific scents, antifungal, or predator deterrent compounds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{"citationID":"P4DHZPoz","properties":{"formattedCitation":"(Vaelli et al., 2020)","plainCitation":"(Vaelli et al., 2020)","noteIndex":0},"citationItems":[{"id":163,"uris":["http://zotero.org/users/6401767/items/9IE7APBV"],"itemData":{"id":163,"type":"article-journal","abstract":"Rough-skinned newts (Taricha granulosa) use tetrodotoxin (TTX) to block voltage-gated sodium (Nav) channels as a chemical defense against predation. Interestingly, newts exhibit extreme population-level variation in toxicity attributed to a coevolutionary arms race with TTX-resistant predatory snakes, but the source of TTX in newts is unknown. Here, we investigated whether symbiotic bacteria isolated from toxic newts could produce TTX. We characterized the skin-associated microbiota from a toxic and non-toxic population of newts and established pure cultures of isolated bacterial symbionts from toxic newts. We then screened bacterial culture media for TTX using LC-MS/MS and identified TTX-producing bacterial strains from four genera, including Aeromonas, Pseudomonas, Shewanella, and Sphingopyxis. Additionally, we sequenced the Nav channel gene family in toxic newts and found that newts expressed Nav channels with modified TTX binding sites, conferring extreme physiological resistance to TTX. This study highlights the complex interactions among adaptive physiology, animal-bacterial symbiosis, and ecological context.","container-title":"eLife","DOI":"10.7554/eLife.53898","ISSN":"2050-084X","note":"publisher: eLife Sciences Publications, Ltd","page":"e53898","source":"eLife","title":"The skin microbiome facilitates adaptive tetrodotoxin production in poisonous newts","volume":"9","author":[{"family":"Vaelli","given":"Patric M"},{"family":"Theis","given":"Kevin R"},{"family":"Williams","given":"Janet E"},{"family":"O'Connell","given":"Lauren A"},{"family":"Foster","given":"James A"},{"family":"Eisthen","given":"Heather L"}],"editor":[{"family":"Baldwin","given":"Ian T"},{"family":"Robert","given":"Christelle AM"},{"family":"Robert","given":"Christelle AM"},{"family":"González Montoya","given":"Mabel Cristina"}],"issued":{"date-parts":[["2020",4,7]]}}}],"schema":"https://github.com/citation-style-language/schema/raw/master/csl-citation.json"}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(Vaelli et al., 2020)</w:t>
      </w:r>
      <w:r w:rsidRPr="005E32F5">
        <w:rPr>
          <w:rFonts w:ascii="Times New Roman" w:hAnsi="Times New Roman" w:cs="Times New Roman"/>
        </w:rPr>
        <w:fldChar w:fldCharType="end"/>
      </w:r>
      <w:r w:rsidRPr="005E32F5">
        <w:rPr>
          <w:rFonts w:ascii="Times New Roman" w:hAnsi="Times New Roman" w:cs="Times New Roman"/>
        </w:rPr>
        <w:t xml:space="preserve">. </w:t>
      </w:r>
      <w:r w:rsidR="007B1A9E">
        <w:rPr>
          <w:rFonts w:ascii="Times New Roman" w:hAnsi="Times New Roman" w:cs="Times New Roman"/>
        </w:rPr>
        <w:t xml:space="preserve">The genus </w:t>
      </w:r>
      <w:r w:rsidRPr="005E32F5">
        <w:rPr>
          <w:rFonts w:ascii="Times New Roman" w:hAnsi="Times New Roman" w:cs="Times New Roman"/>
          <w:i/>
          <w:iCs/>
        </w:rPr>
        <w:t>Rhizobium</w:t>
      </w:r>
      <w:r w:rsidRPr="005E32F5">
        <w:rPr>
          <w:rFonts w:ascii="Times New Roman" w:hAnsi="Times New Roman" w:cs="Times New Roman"/>
        </w:rPr>
        <w:t xml:space="preserve"> is associated with nitrogen fixation capabilities in plants as an endosymbiont but can also exist as a free-living saprophyte with antifungal compounds in soils and low dispersal capabilities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{"citationID":"jllVIMQH","properties":{"formattedCitation":"(Nemergut et al., 2013; Pawar et al., 2014)","plainCitation":"(Nemergut et al., 2013; Pawar et al., 2014)","noteIndex":0},"citationItems":[{"id":414,"uris":["http://zotero.org/users/6401767/items/29SVY7RD"],"itemData":{"id":414,"type":"article-journal","abstract":"Rhizobium species are group of bacteria that fix atmospheric nitrogen symbiotically and stimulate the growth of plants. In the present study, root nodulating bacteria were isolated from root nodules of Soybean (Glycine max L.) on yeast extract mannitol agar (YEMA) medium. The isolates were identified by cultural, morphological and biochemical characterization. Rhizobium isolates were found to be rod shaped, gram negative, acid and mucous producing. Optimum temperature and pH of the Rhizobium was found to be 36°C and 7.0 respectively. While evaluating antibacterial and antifungal activity of Rhizobium against rhizospheric bacteria and pathogenic fungi (Aspergillus niger and Fusarium oxysporum), it was found that Rhizobium did not inhibit the rhizospheric bacteria but inhibited the growth of pathogenic fungi which indicates that Rhizobium may secrete antifungal compounds. In pot assays of Rhizobium, seed inoculation was more effective than soil inoculation. In case of seed germination on the growth of Bengal gram (Cicer arietinum), Moth beans (Vigna aconitifolia), Green gram (Phaseolus aureus Roxb.) and Peas (Pisum sativum) crop plants, it was noted that enhanced growth rate was obtained; hence Rhizobium can be used as bioinoculant.","container-title":"Journal of Academia and Industrial Research (JAIR)","issue":"2","language":"en","source":"Zotero","title":"Effect of Rhizobium on Seed Germination and Growth of Plants","volume":"3","author":[{"family":"Pawar","given":"Vaishali A"},{"family":"Pawar","given":"Pooja R"},{"family":"Bhosale","given":"Ashok M"},{"family":"Chavan","given":"Sourabh V"}],"issued":{"date-parts":[["2014"]]}}},{"id":466,"uris":["http://zotero.org/users/6401767/items/7MIMSZG4"],"itemData":{"id":466,"type":"article-journal","container-title":"Microbiology and Molecular Biology Reviews","DOI":"10.1128/MMBR.00051-12","ISSN":"1092-2172","issue":"3","journalAbbreviation":"Microbiology and Molecular Biology Reviews","language":"en","page":"342-356","source":"DOI.org (Crossref)","title":"Patterns and Processes of Microbial Community Assembly","volume":"77","author":[{"family":"Nemergut","given":"D. R."},{"family":"Schmidt","given":"S. K."},{"family":"Fukami","given":"T."},{"family":"O'Neill","given":"S. P."},{"family":"Bilinski","given":"T. M."},{"family":"Stanish","given":"L. F."},{"family":"Knelman","given":"J. E."},{"family":"Darcy","given":"J. L."},{"family":"Lynch","given":"R. C."},{"family":"Wickey","given":"P."},{"family":"Ferrenberg","given":"S."}],"issued":{"date-parts":[["2013",9,1]]}}}],"schema":"https://github.com/citation-style-language/schema/raw/master/csl-citation.json"}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(Nemergut et al., 2013; Pawar et al., 2014)</w:t>
      </w:r>
      <w:r w:rsidRPr="005E32F5">
        <w:rPr>
          <w:rFonts w:ascii="Times New Roman" w:hAnsi="Times New Roman" w:cs="Times New Roman"/>
        </w:rPr>
        <w:fldChar w:fldCharType="end"/>
      </w:r>
      <w:r w:rsidRPr="005E32F5">
        <w:rPr>
          <w:rFonts w:ascii="Times New Roman" w:hAnsi="Times New Roman" w:cs="Times New Roman"/>
        </w:rPr>
        <w:t xml:space="preserve">. It has been found on other amphibians, ranging from Europe to North America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{"citationID":"WhELKzy1","properties":{"formattedCitation":"(Costa et al., 2016; A. J. Douglas et al., 2020)","plainCitation":"(Costa et al., 2016; A. J. Douglas et al., 2020)","noteIndex":0},"citationItems":[{"id":"aW8cvW4I/YM0tXChW","uris":["http://zotero.org/users/6401767/items/VEUBWDN5"],"itemData":{"id":173,"type":"article-journal","abstract":"&lt;h3&gt;Abstract&lt;/h3&gt; &lt;p&gt;While a number of amphibian microbiomes have been characterized, it is unclear how microbial communities might vary in response to seasonal changes in the environment and the behaviors which many amphibians exhibit. Given recent studies demonstrating the importance of the skin microbiome in frog innate immune defenses against pathogens, investigating how changes in the environment impact the microbial species present, and thus their potential contribution to skin host defense, will provide a better understanding of conditions that may alter host susceptibility to pathogens in their environment. We sampled the skin microbiome of North American wood frogs (&lt;i&gt;Rana sylvatica&lt;/i&gt;) from two breeding ponds in the spring, along with the microbial community present in their vernal breeding pools, and frogs from the nearby forest floor in the summer and fall to determine whether the microbial composition differs by sex, vernal pond site, or temporally across season (spring, summer, fall). Taxon abundance data reveals a profile of bacterial phyla similar to those previously described on anuran skin, with Proteobacteria, Bacteroidetes, and Actinobacteria dominating the wood frog skin microbiome. Our results indicate that sex had no significant effect on skin microbiota diversity, however, this may be due to our limited female sample size. Vernal pool site had a small but significant effect on skin microbiota, but skin-associated communities were more similar to each other than to the communities observed in the frogs’ respective pond water. Across seasons, diversity analyses suggest there are significant differences between the skin microbiome of frogs from spring and summer/fall groups while the average α-diversity per frog remained consistent. Bacterial genera known to have antifungal properties such as &lt;i&gt;Pseudomonas&lt;/i&gt; spp. and &lt;i&gt;Rhizobium&lt;/i&gt; spp. were prevalent, and several were considered core microbiota during at least one season. These results illustrate seasonal variation in wood frog skin microbiome structure and highlight the importance of considering temporal trends in an amphibian microbiome, particularly for species whose life history requires recurrent shifts in habitat and behavior.&lt;/p&gt;","container-title":"bioRxiv","DOI":"10.1101/2020.01.28.921544","language":"en","license":"© 2020, Posted by Cold Spring Harbor Laboratory. This pre-print is available under a Creative Commons License (Attribution-NonCommercial-NoDerivs 4.0 International), CC BY-NC-ND 4.0, as described at http://creativecommons.org/licenses/by-nc-nd/4.0/","note":"publisher: Cold Spring Harbor Laboratory\nsection: New Results","page":"2020.01.28.921544","source":"www.biorxiv.org","title":"Composition of the North American wood frog (Rana sylvatica) skin microbiome and seasonal variation in community structure","author":[{"family":"Douglas","given":"Alexander J."},{"family":"Hug","given":"Laura A."},{"family":"Katzenback","given":"Barbara A."}],"issued":{"date-parts":[["2020",1,29]]}}},{"id":413,"uris":["http://zotero.org/users/6401767/items/8TEEU2YB"],"itemData":{"id":413,"type":"article-journal","abstract":"Potential synergetic interaction between chemicals, climate change and the emergence of opportunistic diseases is of utmost concern within the amphibian decline scenario. Understand the structure and dynamic of this microbiome and how environmental stressors act on this community is a priority. The present study aimed to: i) characterize the skin microbiome of Pelophylax perezi frog by looking for variations between populations in reference and under stress conditions (one metal contaminated and another with salinity fluctuations) and ii) evaluate the tolerance of skin-isolated bacteria to chemical contamination. Skin swabs were collected from frog populations inhabiting three reference sites (LB, VA and AM), one metal-rich contaminated (TP) and one brackish lentic aquatic system (SL). The frogs' skin microbiome was characterized by culture independent method (DGGE) and by cultivation methods. DGGE showed a characteristic profile in frogs from TP population. Results of recovered communities revealed low morphotype diversity and density (Colony Forming Units per frog) on individuals from TP population, comparatively to the other sampled populations. Isolated bacteria identified based on 16S rRNA gene sequence belong mainly to the classes Actinobacteria and Alphaproteobacteria. Ecotoxicological assays with acid-metal contaminated effluent (ETP) showed that the percentage of tolerant strains was higher in frogs from TP population than in SL and LB populations. In conclusion, results suggest that: a) environmental specific characteristics, as the presence of chemical contaminants, influence the composition of amphibian microbiome, comparing with sites without such contaminants; b) there are differences in microbiome composition between populations; and c) bacteria historically exposed to effluent may evolve tolerance to this kind of contamination.","container-title":"Science of The Total Environment","DOI":"10.1016/j.scitotenv.2016.07.230","ISSN":"0048-9697","journalAbbreviation":"Science of The Total Environment","language":"en","page":"995-1004","source":"ScienceDirect","title":"Diversity of cutaneous microbiome of Pelophylax perezi populations inhabiting different environments","volume":"572","author":[{"family":"Costa","given":"Sara"},{"family":"Lopes","given":"Isabel"},{"family":"Proença","given":"Diogo Neves"},{"family":"Ribeiro","given":"Rui"},{"family":"Morais","given":"Paula V."}],"issued":{"date-parts":[["2016",12,1]]}}}],"schema":"https://github.com/citation-style-language/schema/raw/master/csl-citation.json"}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(Costa et al., 2016; A. J. Douglas et al., 2020)</w:t>
      </w:r>
      <w:r w:rsidRPr="005E32F5">
        <w:rPr>
          <w:rFonts w:ascii="Times New Roman" w:hAnsi="Times New Roman" w:cs="Times New Roman"/>
        </w:rPr>
        <w:fldChar w:fldCharType="end"/>
      </w:r>
      <w:r w:rsidRPr="005E32F5">
        <w:rPr>
          <w:rFonts w:ascii="Times New Roman" w:hAnsi="Times New Roman" w:cs="Times New Roman"/>
        </w:rPr>
        <w:t xml:space="preserve">, and can produce antifungal compounds in association with bats to combat white-nose syndrome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{"citationID":"bobqRriP","properties":{"formattedCitation":"(Grisnik et al., 2020)","plainCitation":"(Grisnik et al., 2020)","noteIndex":0},"citationItems":[{"id":412,"uris":["http://zotero.org/users/6401767/items/XY2YRSUW"],"itemData":{"id":412,"type":"article-journal","abstract":"Since its introduction into the USA, Pseudogymnoascus destructans (Pd), the fungal pathogen of white-nose syndrome, has killed millions of bats. Recently, bacteria capable of inhibiting the growth of Pd have been identified within bat microbial assemblages, leading to increased interest in elucidating bacterial assemblage-pathogen interactions. Our objectives were to determine if bat cutaneous bacteria have antifungal activity against Pd, and correlate differences in the bat cutaneous microbiota with the presence/absence of Pd. We hypothesized that the cutaneous microbiota of bats is enriched with antifungal bacteria, and that the skin assemblage will correlate with Pd status. To test this, we sampled bat microbiota, adjacent roost surfaces, and soil from Pd positive caves to infer possible overlap of antifungal taxa, we tested these bacteria for bioactivity in vitro, and lastly compared bacterial assemblages using both amplicon and shotgun high-throughput DNA sequencing. Results suggest that the presence of Pd has an inconsistent influence on the bat cutaneous microbial assemblage across sites. Operational taxonomic units (OTUs) that corresponded with cultured antifungal bacteria were present within all sample types but were significantly more abundant on bat skin relative to the environment. Additionally, the microbial assemblage of Pd negative bats was found to have more OTUs that corresponded to antifungal taxa than positive bats, suggesting an interaction between fungal pathogens and the cutaneous microbial assemblage.","DOI":"10.1093/femsec/fiz193/5710932","source":"ResearchGate","title":"The cutaneous microbiota of bats has in vitro antifungal activity against the white nose pathogen","author":[{"family":"Grisnik","given":"Matthew"},{"family":"Bowers","given":"Olivia"},{"family":"Moore","given":"Andrew"},{"family":"Jones","given":"Benjamin"},{"family":"Campbell","given":"Joshua"},{"family":"Walker","given":"Donald"},{"family":"Walker","given":"Donald"}],"issued":{"date-parts":[["2020",1,21]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(Grisnik et al., 2020)</w:t>
      </w:r>
      <w:r w:rsidRPr="005E32F5">
        <w:rPr>
          <w:rFonts w:ascii="Times New Roman" w:hAnsi="Times New Roman" w:cs="Times New Roman"/>
        </w:rPr>
        <w:fldChar w:fldCharType="end"/>
      </w:r>
      <w:r w:rsidRPr="005E32F5">
        <w:rPr>
          <w:rFonts w:ascii="Times New Roman" w:hAnsi="Times New Roman" w:cs="Times New Roman"/>
        </w:rPr>
        <w:t xml:space="preserve">. </w:t>
      </w:r>
    </w:p>
    <w:p w14:paraId="42F887F3" w14:textId="5534551D" w:rsidR="00C57BCC" w:rsidRPr="005E32F5" w:rsidRDefault="002F0DCF" w:rsidP="005C70DD">
      <w:pPr>
        <w:spacing w:line="360" w:lineRule="auto"/>
        <w:ind w:firstLine="720"/>
        <w:rPr>
          <w:rFonts w:ascii="Times New Roman" w:hAnsi="Times New Roman" w:cs="Times New Roman"/>
        </w:rPr>
      </w:pPr>
      <w:r w:rsidRPr="005E32F5">
        <w:rPr>
          <w:rFonts w:ascii="Times New Roman" w:hAnsi="Times New Roman" w:cs="Times New Roman"/>
        </w:rPr>
        <w:t xml:space="preserve">Our results suggest symbionts associated with salamander hosts are largely transient and are not ‘distinct’ from environmental reservoirs </w:t>
      </w:r>
      <w:proofErr w:type="gramStart"/>
      <w:r w:rsidRPr="005E32F5">
        <w:rPr>
          <w:rFonts w:ascii="Times New Roman" w:hAnsi="Times New Roman" w:cs="Times New Roman"/>
        </w:rPr>
        <w:t>with the exception of</w:t>
      </w:r>
      <w:proofErr w:type="gramEnd"/>
      <w:r w:rsidRPr="005E32F5">
        <w:rPr>
          <w:rFonts w:ascii="Times New Roman" w:hAnsi="Times New Roman" w:cs="Times New Roman"/>
        </w:rPr>
        <w:t xml:space="preserve"> a few non-random associations uncovered by statistical associations and defensive capabilities. These genera represent the best candidates for investigating the possibility of intimate associations in otherwise transient communities. Potential benefits of skin symbionts for hosts include defense against predators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{"citationID":"3WWeynlO","properties":{"formattedCitation":"(Vaelli et al., 2020)","plainCitation":"(Vaelli et al., 2020)","noteIndex":0},"citationItems":[{"id":163,"uris":["http://zotero.org/users/6401767/items/9IE7APBV"],"itemData":{"id":163,"type":"article-journal","abstract":"Rough-skinned newts (Taricha granulosa) use tetrodotoxin (TTX) to block voltage-gated sodium (Nav) channels as a chemical defense against predation. Interestingly, newts exhibit extreme population-level variation in toxicity attributed to a coevolutionary arms race with TTX-resistant predatory snakes, but the source of TTX in newts is unknown. Here, we investigated whether symbiotic bacteria isolated from toxic newts could produce TTX. We characterized the skin-associated microbiota from a toxic and non-toxic population of newts and established pure cultures of isolated bacterial symbionts from toxic newts. We then screened bacterial culture media for TTX using LC-MS/MS and identified TTX-producing bacterial strains from four genera, including Aeromonas, Pseudomonas, Shewanella, and Sphingopyxis. Additionally, we sequenced the Nav channel gene family in toxic newts and found that newts expressed Nav channels with modified TTX binding sites, conferring extreme physiological resistance to TTX. This study highlights the complex interactions among adaptive physiology, animal-bacterial symbiosis, and ecological context.","container-title":"eLife","DOI":"10.7554/eLife.53898","ISSN":"2050-084X","note":"publisher: eLife Sciences Publications, Ltd","page":"e53898","source":"eLife","title":"The skin microbiome facilitates adaptive tetrodotoxin production in poisonous newts","volume":"9","author":[{"family":"Vaelli","given":"Patric M"},{"family":"Theis","given":"Kevin R"},{"family":"Williams","given":"Janet E"},{"family":"O'Connell","given":"Lauren A"},{"family":"Foster","given":"James A"},{"family":"Eisthen","given":"Heather L"}],"editor":[{"family":"Baldwin","given":"Ian T"},{"family":"Robert","given":"Christelle AM"},{"family":"Robert","given":"Christelle AM"},{"family":"González Montoya","given":"Mabel Cristina"}],"issued":{"date-parts":[["2020",4,7]]}}}],"schema":"https://github.com/citation-style-language/schema/raw/master/csl-citation.json"}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(Vaelli et al., 2020)</w:t>
      </w:r>
      <w:r w:rsidRPr="005E32F5">
        <w:rPr>
          <w:rFonts w:ascii="Times New Roman" w:hAnsi="Times New Roman" w:cs="Times New Roman"/>
        </w:rPr>
        <w:fldChar w:fldCharType="end"/>
      </w:r>
      <w:r w:rsidRPr="005E32F5">
        <w:rPr>
          <w:rFonts w:ascii="Times New Roman" w:hAnsi="Times New Roman" w:cs="Times New Roman"/>
        </w:rPr>
        <w:t xml:space="preserve">, defense against skin pathogens like Bd and </w:t>
      </w:r>
      <w:proofErr w:type="spellStart"/>
      <w:r w:rsidRPr="005E32F5">
        <w:rPr>
          <w:rFonts w:ascii="Times New Roman" w:hAnsi="Times New Roman" w:cs="Times New Roman"/>
        </w:rPr>
        <w:t>Bsal</w:t>
      </w:r>
      <w:proofErr w:type="spellEnd"/>
      <w:r w:rsidRPr="005E32F5">
        <w:rPr>
          <w:rFonts w:ascii="Times New Roman" w:hAnsi="Times New Roman" w:cs="Times New Roman"/>
        </w:rPr>
        <w:t xml:space="preserve"> </w:t>
      </w:r>
      <w:r w:rsidRPr="005E32F5">
        <w:rPr>
          <w:rFonts w:ascii="Times New Roman" w:hAnsi="Times New Roman" w:cs="Times New Roman"/>
        </w:rPr>
        <w:fldChar w:fldCharType="begin"/>
      </w:r>
      <w:r w:rsidR="00CB244F">
        <w:rPr>
          <w:rFonts w:ascii="Times New Roman" w:hAnsi="Times New Roman" w:cs="Times New Roman"/>
        </w:rPr>
        <w:instrText xml:space="preserve"> ADDIN ZOTERO_ITEM CSL_CITATION {"citationID":"qJO6qWgE","properties":{"formattedCitation":"(Flechas et al., 2012; Muletz et al., 2012b)","plainCitation":"(Flechas et al., 2012; Muletz et al., 2012b)","noteIndex":0},"citationItems":[{"id":207,"uris":["http://zotero.org/users/6401767/items/BVND7N66"],"itemData":{"id":207,"type":"article-journal","abstract":"In the Neotropics, almost every species of the stream-dwelling harlequin toads (genus Atelopus) have experienced catastrophic declines. The persistence of lowland species of Atelopus could be explained by the lower growth rate of Batrachochytrium dendrobatidis (Bd) at temperatures above 25°C. We tested the complementary hypothesis that the toads' skin bacterial microbiota acts as a protective barrier against the pathogen, perhaps delaying or impeding the symptomatic phase of chytridiomycosis. We isolated 148 cultivable bacterial strains from three lowland Atelopus species and quantified the anti-Bd activity through antagonism assays. Twenty-six percent (38 strains representing 12 species) of the bacteria inhibited Bd growth and just two of them were shared among the toad species sampled in different localities. Interestingly, the strongest anti-Bd activity was measured in bacteria isolated from A. elegans, the only species that tested positive for the pathogen. The cutaneous bacterial microbiota is thus likely a fitness-enhancing trait that may (adaptation) or not (exaptation) have appeared because of natural selection mediated by chytridiomycosis. Our findings reveal bacterial strains for development of local probiotic treatments against chytridiomycosis and also shed light on the mechanisms behind the frog-bacteria-pathogen interaction.","container-title":"PLOS ONE","DOI":"10.1371/journal.pone.0044832","ISSN":"1932-6203","issue":"9","journalAbbreviation":"PLOS ONE","language":"en","note":"publisher: Public Library of Science","page":"e44832","source":"PLoS Journals","title":"Surviving Chytridiomycosis: Differential Anti-Batrachochytrium dendrobatidis Activity in Bacterial Isolates from Three Lowland Species of Atelopus","title-short":"Surviving Chytridiomycosis","volume":"7","author":[{"family":"Flechas","given":"Sandra V."},{"family":"Sarmiento","given":"Carolina"},{"family":"Cárdenas","given":"Martha E."},{"family":"Medina","given":"Edgar M."},{"family":"Restrepo","given":"Silvia"},{"family":"Amézquita","given":"Adolfo"}],"issued":{"date-parts":[["2012",9,10]]}}},{"id":262,"uris":["http://zotero.org/users/6401767/items/XZ93VYSA"],"itemData":{"id":262,"type":"article-journal","abstract":"Amphibians worldwide are declining in part due to the disease chytridiomycosis caused by the cutaneous fungal pathogen Batrachochytrium dendrobatidis (Bd). While several experimental disease mitigation strategies are currently being tested, no proven implementable strategy exists to combat chytridiomycosis in the field. A plausible conservation strategy is the use of probiotic anti-Bd bacteria to combat chytridiomycosis (bioaugmentation). In this study, we examined the use of soil bioaugmentation in mitigation of chytridiomycosis in a laboratory experiment. Specifically, we sought to determine if the anti-Bd bacterial species Janthinobacterium lividum could be successfully introduced into natural soil, if the introduced bacteria could then be transmitted to the skin of the amphibian species Plethodon cinereus, and if the environmental transmission of J. lividum could reduce Bd infection on P. cinereus. We demonstrated that J. lividum can be successfully introduced into soil and can be environmentally transmitted to P. cinereus skin. We found that the environmental transmission of J. lividum inhibited colonization by Bd on the skin of P. cinereus five days post-Bd exposure. Soil bioaugmentation may be a feasible conservation strategy that could protect amphibians susceptible to chytridiomycosis from declines driven by the disease.","container-title":"Biological Conservation","DOI":"10.1016/j.biocon.2012.03.022","ISSN":"0006-3207","journalAbbreviation":"Biological Conservation","language":"en","page":"119-126","source":"ScienceDirect","title":"Soil bioaugmentation with amphibian cutaneous bacteria protects amphibian hosts from infection by Batrachochytrium dendrobatidis","volume":"152","author":[{"family":"Muletz","given":"Carly R."},{"family":"Myers","given":"Jillian M."},{"family":"Domangue","given":"Rickie J."},{"family":"Herrick","given":"James B."},{"family":"Harris","given":"Reid N."}],"issued":{"date-parts":[["2012",8,1]]}}}],"schema":"https://github.com/citation-style-language/schema/raw/master/csl-citation.json"} </w:instrText>
      </w:r>
      <w:r w:rsidRPr="005E32F5">
        <w:rPr>
          <w:rFonts w:ascii="Times New Roman" w:hAnsi="Times New Roman" w:cs="Times New Roman"/>
        </w:rPr>
        <w:fldChar w:fldCharType="separate"/>
      </w:r>
      <w:r w:rsidR="00CB244F">
        <w:rPr>
          <w:rFonts w:ascii="Times New Roman" w:hAnsi="Times New Roman" w:cs="Times New Roman"/>
          <w:noProof/>
        </w:rPr>
        <w:t>(Flechas et al., 2012; Muletz et al., 2012b)</w:t>
      </w:r>
      <w:r w:rsidRPr="005E32F5">
        <w:rPr>
          <w:rFonts w:ascii="Times New Roman" w:hAnsi="Times New Roman" w:cs="Times New Roman"/>
        </w:rPr>
        <w:fldChar w:fldCharType="end"/>
      </w:r>
      <w:r w:rsidRPr="005E32F5">
        <w:rPr>
          <w:rFonts w:ascii="Times New Roman" w:hAnsi="Times New Roman" w:cs="Times New Roman"/>
        </w:rPr>
        <w:t xml:space="preserve">, defense against opportunistic saprophytes that can infect eggs when left untended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{"citationID":"NTe1ssk4","properties":{"formattedCitation":"(Walke et al., 2011)","plainCitation":"(Walke et al., 2011)","noteIndex":0},"citationItems":[{"id":122,"uris":["http://zotero.org/users/6401767/items/GXHS737H"],"itemData":{"id":122,"type":"article-journal","abstract":"Amphibian embryos are at risk of microbial infection. Here we find evidence that innate immune defenses, both antimicrobial skin peptides and mutualistic microbiota, of adult glass frogs, Hyalinobatrachium colymbiphyllum, can be transmitted to embryos deposited on leaves above rain forest streams in Panama and can inhibit the fungal pathogen Batrachochytrium dendrobatidis. Abstract in Spanish is available at http://www.blackwell-synergy.com/loi/btp.","container-title":"Biotropica","DOI":"10.1111/j.1744-7429.2011.00787.x","ISSN":"1744-7429","issue":"4","language":"en","license":"© 2011 The Author(s). Journal compilation © 2011 by The Association for Tropical Biology and Conservation","note":"_eprint: https://onlinelibrary.wiley.com/doi/pdf/10.1111/j.1744-7429.2011.00787.x","page":"396-400","source":"Wiley Online Library","title":"Social Immunity in Amphibians: Evidence for Vertical Transmission of Innate Defenses","title-short":"Social Immunity in Amphibians","volume":"43","author":[{"family":"Walke","given":"Jenifer B."},{"family":"Harris","given":"Reid N."},{"family":"Reinert","given":"Laura K."},{"family":"Rollins‐Smith","given":"Louise A."},{"family":"Woodhams","given":"Douglas C."}],"issued":{"date-parts":[["2011"]]}}}],"schema":"https://github.com/citation-style-language/schema/raw/master/csl-citation.json"}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(Walke et al., 2011)</w:t>
      </w:r>
      <w:r w:rsidRPr="005E32F5">
        <w:rPr>
          <w:rFonts w:ascii="Times New Roman" w:hAnsi="Times New Roman" w:cs="Times New Roman"/>
        </w:rPr>
        <w:fldChar w:fldCharType="end"/>
      </w:r>
      <w:r w:rsidRPr="005E32F5">
        <w:rPr>
          <w:rFonts w:ascii="Times New Roman" w:hAnsi="Times New Roman" w:cs="Times New Roman"/>
        </w:rPr>
        <w:t xml:space="preserve">, and chemical signals affecting courtship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{"citationID":"LueHDhBx","properties":{"formattedCitation":"(Brunetti et al., 2019)","plainCitation":"(Brunetti et al., 2019)","noteIndex":0},"citationItems":[{"id":162,"uris":["http://zotero.org/users/6401767/items/DU2JAHLN"],"itemData":{"id":162,"type":"article-journal","abstract":"Amphibians are known to possess a wide variety of compounds stored in their skin glands. While significant progress has been made in understanding the chemical diversity and biological relevance of alkaloids, amines, steroids, and peptides, most aspects of the odorous secretions are completely unknown. In this study, we examined sexual variations in the volatile profile from the skin of the tree frog Boana prasina and combined culture and culture-independent methods to investigate if microorganisms might be a source of these compounds. We found that sesquiterpenes, thioethers, and methoxypyrazines are major contributors to the observed sex differences. We also observed that each sex has a distinct profile of methoxypyrazines, and that the chemical origin of these compounds can be traced to a Pseudomonas sp. strain isolated from the frog’s skin. This symbiotic bacterium was present in almost all individuals examined from different sites and was maintained in captive conditions, supporting its significance as the source of methoxypyrazines in these frogs. Our results highlight the potential relevance of bacteria as a source of chemical signals in amphibians and contribute to increasing our understanding of the role that symbiotic associations have in animals.","container-title":"Proceedings of the National Academy of Sciences","DOI":"10.1073/pnas.1806834116","ISSN":"0027-8424, 1091-6490","issue":"6","journalAbbreviation":"PNAS","language":"en","license":"© 2019 . https://www.pnas.org/site/aboutpnas/licenses.xhtmlPublished under the PNAS license.","note":"publisher: National Academy of Sciences\nsection: Biological Sciences\nPMID: 30670649","page":"2124-2129","source":"www.pnas.org","title":"Symbiotic skin bacteria as a source for sex-specific scents in frogs","volume":"116","author":[{"family":"Brunetti","given":"Andrés E."},{"family":"Lyra","given":"Mariana L."},{"family":"Melo","given":"Weilan G. P."},{"family":"Andrade","given":"Laura E."},{"family":"Palacios-Rodríguez","given":"Pablo"},{"family":"Prado","given":"Bárbara M."},{"family":"Haddad","given":"Célio F. B."},{"family":"Pupo","given":"Mônica T."},{"family":"Lopes","given":"Norberto P."}],"issued":{"date-parts":[["2019",2,5]]}}}],"schema":"https://github.com/citation-style-language/schema/raw/master/csl-citation.json"}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(Brunetti et al., 2019)</w:t>
      </w:r>
      <w:r w:rsidRPr="005E32F5">
        <w:rPr>
          <w:rFonts w:ascii="Times New Roman" w:hAnsi="Times New Roman" w:cs="Times New Roman"/>
        </w:rPr>
        <w:fldChar w:fldCharType="end"/>
      </w:r>
      <w:r w:rsidRPr="005E32F5">
        <w:rPr>
          <w:rFonts w:ascii="Times New Roman" w:hAnsi="Times New Roman" w:cs="Times New Roman"/>
        </w:rPr>
        <w:t xml:space="preserve">. Potential benefits to skin symbionts from hosts include nutrition and enemy-free space </w:t>
      </w:r>
      <w:r w:rsidRPr="005E32F5">
        <w:rPr>
          <w:rFonts w:ascii="Times New Roman" w:hAnsi="Times New Roman" w:cs="Times New Roman"/>
        </w:rPr>
        <w:fldChar w:fldCharType="begin"/>
      </w:r>
      <w:r w:rsidR="004D2321">
        <w:rPr>
          <w:rFonts w:ascii="Times New Roman" w:hAnsi="Times New Roman" w:cs="Times New Roman"/>
        </w:rPr>
        <w:instrText xml:space="preserve"> ADDIN ZOTERO_ITEM CSL_CITATION {"citationID":"BAYIDk9L","properties":{"formattedCitation":"(Brunetti et al., 2023)","plainCitation":"(Brunetti et al., 2023)","noteIndex":0},"citationItems":[{"id":1805,"uris":["http://zotero.org/users/6401767/items/LHAF77Z3"],"itemData":{"id":1805,"type":"article-journal","abstract":"The host-microbiome associations occurring on the skin of vertebrates signiﬁcantly inﬂuence hosts’ health. However, the factors mediating their interactions remain largely unknown. Herein, we used integrated technical and ecological frameworks to investigate the skin metabolites sustaining a beneﬁcial symbiosis between tree frogs and bacteria. We characterize macrocyclic acylcarnitines as the major metabolites secreted by the frogs’ skin and trace their origin to an enzymatic unbalance of carnitine palmitoyltransferases. We found that these compounds colocalize with bacteria on the skin surface and are mostly represented by members of the Pseudomonas community. We showed that Pseudomonas sp. MPFS isolated from frogs’ skin can exploit acylcarnitines as its sole carbon and nitrogen source, and this metabolic capability is widespread in Pseudomonas. We summarize frogs’ multiple mechanisms to ﬁlter environmental bacteria and highlight that acylcarnitines likely evolved for another function but were co-opted to provide nutritional beneﬁts to the symbionts.","container-title":"iScience","DOI":"10.1016/j.isci.2023.108109","ISSN":"25890042","issue":"11","journalAbbreviation":"iScience","language":"en","page":"108109","source":"DOI.org (Crossref)","title":"Host macrocyclic acylcarnitines mediate symbiotic interactions between frogs and their skin microbiome","volume":"26","author":[{"family":"Brunetti","given":"Andrés E."},{"family":"Lyra","given":"Mariana L."},{"family":"Bauermeister","given":"Anelize"},{"family":"Bunk","given":"Boyke"},{"family":"Boedeker","given":"Christian"},{"family":"Müsken","given":"Mathias"},{"family":"Neto","given":"Fausto Carnevale"},{"family":"Mendonça","given":"Jacqueline Nakau"},{"family":"Caraballo-Rodríguez","given":"Andrés Mauricio"},{"family":"Melo","given":"Weilan G.P."},{"family":"Pupo","given":"Mônica T."},{"family":"Haddad","given":"Célio F.B."},{"family":"Cabrera","given":"Gabriela M."},{"family":"Overmann","given":"Jörg"},{"family":"Lopes","given":"Norberto P."}],"issued":{"date-parts":[["2023",11]]}}}],"schema":"https://github.com/citation-style-language/schema/raw/master/csl-citation.json"} </w:instrText>
      </w:r>
      <w:r w:rsidRPr="005E32F5">
        <w:rPr>
          <w:rFonts w:ascii="Times New Roman" w:hAnsi="Times New Roman" w:cs="Times New Roman"/>
        </w:rPr>
        <w:fldChar w:fldCharType="separate"/>
      </w:r>
      <w:r w:rsidR="004D2321">
        <w:rPr>
          <w:rFonts w:ascii="Times New Roman" w:hAnsi="Times New Roman" w:cs="Times New Roman"/>
          <w:noProof/>
        </w:rPr>
        <w:t>(Brunetti et al., 2023)</w:t>
      </w:r>
      <w:r w:rsidRPr="005E32F5">
        <w:rPr>
          <w:rFonts w:ascii="Times New Roman" w:hAnsi="Times New Roman" w:cs="Times New Roman"/>
        </w:rPr>
        <w:fldChar w:fldCharType="end"/>
      </w:r>
      <w:r w:rsidRPr="005E32F5">
        <w:rPr>
          <w:rFonts w:ascii="Times New Roman" w:hAnsi="Times New Roman" w:cs="Times New Roman"/>
        </w:rPr>
        <w:t xml:space="preserve">, but reciprocal benefits are not necessary, and perhaps not to be expected in very open systems such as skin. Whether there is a ‘functional core’ set of microbes that are critical to host resistance to disease is an important question for conservation, and the genetic and ecological underpinnings of skin-microbe interactions are keys for understanding coevolution in complex communities. Our results, in combination with previous studies, point towards a few specific bacterial taxa that should be investigated in greater depth regarding what promotes persistence of environmentally derived symbionts on amphibian skin. </w:t>
      </w:r>
    </w:p>
    <w:p w14:paraId="5A9D9CB2" w14:textId="6B913DD1" w:rsidR="00DE17C2" w:rsidRDefault="00DE17C2">
      <w:pPr>
        <w:rPr>
          <w:rFonts w:ascii="Times" w:hAnsi="Times"/>
        </w:rPr>
      </w:pPr>
      <w:r>
        <w:rPr>
          <w:rFonts w:ascii="Times" w:hAnsi="Times"/>
        </w:rPr>
        <w:br w:type="page"/>
      </w:r>
    </w:p>
    <w:p w14:paraId="3DFD5D02" w14:textId="076DF6C1" w:rsidR="00DE17C2" w:rsidRPr="007B5A0E" w:rsidRDefault="00DE17C2" w:rsidP="00DE17C2">
      <w:pPr>
        <w:pStyle w:val="Heading1"/>
        <w:rPr>
          <w:rFonts w:ascii="Times New Roman" w:hAnsi="Times New Roman" w:cs="Times New Roman"/>
        </w:rPr>
      </w:pPr>
      <w:bookmarkStart w:id="187" w:name="_Toc165028094"/>
      <w:r w:rsidRPr="007B5A0E">
        <w:rPr>
          <w:rFonts w:ascii="Times New Roman" w:hAnsi="Times New Roman" w:cs="Times New Roman"/>
        </w:rPr>
        <w:lastRenderedPageBreak/>
        <w:t>Conclusion</w:t>
      </w:r>
      <w:bookmarkEnd w:id="187"/>
    </w:p>
    <w:p w14:paraId="429D41AB" w14:textId="77777777" w:rsidR="006D7C47" w:rsidRPr="007B5A0E" w:rsidRDefault="006D7C47" w:rsidP="006D7C47">
      <w:pPr>
        <w:rPr>
          <w:rFonts w:ascii="Times New Roman" w:hAnsi="Times New Roman" w:cs="Times New Roman"/>
        </w:rPr>
      </w:pPr>
    </w:p>
    <w:p w14:paraId="4E273126" w14:textId="44332558" w:rsidR="00C208E9" w:rsidRDefault="00DD5674" w:rsidP="006D7C47">
      <w:pPr>
        <w:spacing w:line="360" w:lineRule="auto"/>
        <w:ind w:firstLine="720"/>
        <w:rPr>
          <w:rFonts w:ascii="Times New Roman" w:hAnsi="Times New Roman" w:cs="Times New Roman"/>
        </w:rPr>
      </w:pPr>
      <w:r>
        <w:rPr>
          <w:rFonts w:ascii="Times New Roman" w:hAnsi="Times New Roman" w:cs="Times New Roman"/>
        </w:rPr>
        <w:t>T</w:t>
      </w:r>
      <w:r w:rsidR="00995EB7">
        <w:rPr>
          <w:rFonts w:ascii="Times New Roman" w:hAnsi="Times New Roman" w:cs="Times New Roman"/>
        </w:rPr>
        <w:t>his dissertation took a high resolution spatial and temporal investigation of the amphibian skin microbiome</w:t>
      </w:r>
      <w:r w:rsidR="006D7C47" w:rsidRPr="007B5A0E">
        <w:rPr>
          <w:rFonts w:ascii="Times New Roman" w:hAnsi="Times New Roman" w:cs="Times New Roman"/>
        </w:rPr>
        <w:t xml:space="preserve"> </w:t>
      </w:r>
      <w:r w:rsidR="00995EB7">
        <w:rPr>
          <w:rFonts w:ascii="Times New Roman" w:hAnsi="Times New Roman" w:cs="Times New Roman"/>
        </w:rPr>
        <w:t>in the context of environmental reservoirs. In</w:t>
      </w:r>
      <w:r w:rsidR="006D7C47" w:rsidRPr="007B5A0E">
        <w:rPr>
          <w:rFonts w:ascii="Times New Roman" w:hAnsi="Times New Roman" w:cs="Times New Roman"/>
        </w:rPr>
        <w:t xml:space="preserve"> </w:t>
      </w:r>
      <w:r w:rsidR="006D7C47" w:rsidRPr="00AA423F">
        <w:rPr>
          <w:rFonts w:ascii="Times New Roman" w:hAnsi="Times New Roman" w:cs="Times New Roman"/>
          <w:b/>
          <w:bCs/>
        </w:rPr>
        <w:t xml:space="preserve">Chapter </w:t>
      </w:r>
      <w:r w:rsidR="00AA423F" w:rsidRPr="00AA423F">
        <w:rPr>
          <w:rFonts w:ascii="Times New Roman" w:hAnsi="Times New Roman" w:cs="Times New Roman"/>
          <w:b/>
          <w:bCs/>
        </w:rPr>
        <w:t>one</w:t>
      </w:r>
      <w:r w:rsidR="006D7C47" w:rsidRPr="007B5A0E">
        <w:rPr>
          <w:rFonts w:ascii="Times New Roman" w:hAnsi="Times New Roman" w:cs="Times New Roman"/>
        </w:rPr>
        <w:t xml:space="preserve">, </w:t>
      </w:r>
      <w:r w:rsidR="00D52D54">
        <w:rPr>
          <w:rFonts w:ascii="Times New Roman" w:hAnsi="Times New Roman" w:cs="Times New Roman"/>
        </w:rPr>
        <w:t>I</w:t>
      </w:r>
      <w:r w:rsidR="006D7C47" w:rsidRPr="007B5A0E">
        <w:rPr>
          <w:rFonts w:ascii="Times New Roman" w:hAnsi="Times New Roman" w:cs="Times New Roman"/>
        </w:rPr>
        <w:t xml:space="preserve"> </w:t>
      </w:r>
      <w:r w:rsidR="00995EB7">
        <w:rPr>
          <w:rFonts w:ascii="Times New Roman" w:hAnsi="Times New Roman" w:cs="Times New Roman"/>
        </w:rPr>
        <w:t>sought to clarify the role of host ecology and phylogeny by evaluating</w:t>
      </w:r>
      <w:r w:rsidR="006D7C47" w:rsidRPr="007B5A0E">
        <w:rPr>
          <w:rFonts w:ascii="Times New Roman" w:hAnsi="Times New Roman" w:cs="Times New Roman"/>
        </w:rPr>
        <w:t xml:space="preserve"> the similarities and differences between salamanders and cover objects pertaining to habitat, microhabitat, and host species. </w:t>
      </w:r>
      <w:r w:rsidR="00D52D54">
        <w:rPr>
          <w:rFonts w:ascii="Times New Roman" w:hAnsi="Times New Roman" w:cs="Times New Roman"/>
        </w:rPr>
        <w:t>I</w:t>
      </w:r>
      <w:r w:rsidR="006D7C47" w:rsidRPr="007B5A0E">
        <w:rPr>
          <w:rFonts w:ascii="Times New Roman" w:hAnsi="Times New Roman" w:cs="Times New Roman"/>
        </w:rPr>
        <w:t xml:space="preserve"> found that salamander-associated assemblages are differentiated by host species; however, differentiation is not consistent with host-mediated selection, but instead </w:t>
      </w:r>
      <w:r w:rsidR="002854C8">
        <w:rPr>
          <w:rFonts w:ascii="Times New Roman" w:hAnsi="Times New Roman" w:cs="Times New Roman"/>
        </w:rPr>
        <w:t xml:space="preserve">most </w:t>
      </w:r>
      <w:r w:rsidR="006D7C47" w:rsidRPr="007B5A0E">
        <w:rPr>
          <w:rFonts w:ascii="Times New Roman" w:hAnsi="Times New Roman" w:cs="Times New Roman"/>
        </w:rPr>
        <w:t xml:space="preserve">reflects differences in microhabitat utilization. </w:t>
      </w:r>
      <w:r w:rsidR="00D52D54">
        <w:rPr>
          <w:rFonts w:ascii="Times New Roman" w:hAnsi="Times New Roman" w:cs="Times New Roman"/>
        </w:rPr>
        <w:t>I</w:t>
      </w:r>
      <w:r w:rsidR="006D7C47" w:rsidRPr="007B5A0E">
        <w:rPr>
          <w:rFonts w:ascii="Times New Roman" w:hAnsi="Times New Roman" w:cs="Times New Roman"/>
        </w:rPr>
        <w:t xml:space="preserve"> additionally show that while cover objects are strongly differentiated by habitat, salamander-associated communities are largely heterogenous and harbor little similarities</w:t>
      </w:r>
      <w:r w:rsidR="00707E58" w:rsidRPr="007B5A0E">
        <w:rPr>
          <w:rFonts w:ascii="Times New Roman" w:hAnsi="Times New Roman" w:cs="Times New Roman"/>
        </w:rPr>
        <w:t xml:space="preserve">. </w:t>
      </w:r>
      <w:r w:rsidR="00B243E0">
        <w:rPr>
          <w:rFonts w:ascii="Times New Roman" w:hAnsi="Times New Roman" w:cs="Times New Roman"/>
        </w:rPr>
        <w:t>Microbes</w:t>
      </w:r>
      <w:r w:rsidR="00707E58" w:rsidRPr="007B5A0E">
        <w:rPr>
          <w:rFonts w:ascii="Times New Roman" w:hAnsi="Times New Roman" w:cs="Times New Roman"/>
        </w:rPr>
        <w:t xml:space="preserve"> showing statistical affinity for salamander skin appear to be </w:t>
      </w:r>
      <w:r w:rsidR="00B243E0">
        <w:rPr>
          <w:rFonts w:ascii="Times New Roman" w:hAnsi="Times New Roman" w:cs="Times New Roman"/>
        </w:rPr>
        <w:t>generally associated with</w:t>
      </w:r>
      <w:r w:rsidR="00707E58" w:rsidRPr="007B5A0E">
        <w:rPr>
          <w:rFonts w:ascii="Times New Roman" w:hAnsi="Times New Roman" w:cs="Times New Roman"/>
        </w:rPr>
        <w:t xml:space="preserve"> ‘salamander condition</w:t>
      </w:r>
      <w:r w:rsidR="00995EB7">
        <w:rPr>
          <w:rFonts w:ascii="Times New Roman" w:hAnsi="Times New Roman" w:cs="Times New Roman"/>
        </w:rPr>
        <w:t>s</w:t>
      </w:r>
      <w:r w:rsidR="00707E58" w:rsidRPr="007B5A0E">
        <w:rPr>
          <w:rFonts w:ascii="Times New Roman" w:hAnsi="Times New Roman" w:cs="Times New Roman"/>
        </w:rPr>
        <w:t>’ rather than species</w:t>
      </w:r>
      <w:r w:rsidR="00995EB7">
        <w:rPr>
          <w:rFonts w:ascii="Times New Roman" w:hAnsi="Times New Roman" w:cs="Times New Roman"/>
        </w:rPr>
        <w:t>-specific conditions</w:t>
      </w:r>
      <w:r w:rsidR="005C5815">
        <w:rPr>
          <w:rFonts w:ascii="Times New Roman" w:hAnsi="Times New Roman" w:cs="Times New Roman"/>
        </w:rPr>
        <w:t xml:space="preserve">. More broadly, communities on salamanders tend to be most </w:t>
      </w:r>
      <w:proofErr w:type="gramStart"/>
      <w:r w:rsidR="005C5815">
        <w:rPr>
          <w:rFonts w:ascii="Times New Roman" w:hAnsi="Times New Roman" w:cs="Times New Roman"/>
        </w:rPr>
        <w:t>similar to</w:t>
      </w:r>
      <w:proofErr w:type="gramEnd"/>
      <w:r w:rsidR="005C5815">
        <w:rPr>
          <w:rFonts w:ascii="Times New Roman" w:hAnsi="Times New Roman" w:cs="Times New Roman"/>
        </w:rPr>
        <w:t xml:space="preserve"> their immediate cover objects </w:t>
      </w:r>
      <w:r w:rsidR="00C208E9">
        <w:rPr>
          <w:rFonts w:ascii="Times New Roman" w:hAnsi="Times New Roman" w:cs="Times New Roman"/>
        </w:rPr>
        <w:t>suggesting</w:t>
      </w:r>
      <w:r w:rsidR="005C5815">
        <w:rPr>
          <w:rFonts w:ascii="Times New Roman" w:hAnsi="Times New Roman" w:cs="Times New Roman"/>
        </w:rPr>
        <w:t xml:space="preserve"> high reliance on environmental reservoirs and ecological processes</w:t>
      </w:r>
      <w:r w:rsidR="00C208E9">
        <w:rPr>
          <w:rFonts w:ascii="Times New Roman" w:hAnsi="Times New Roman" w:cs="Times New Roman"/>
        </w:rPr>
        <w:t xml:space="preserve"> rather than host-specific traits.</w:t>
      </w:r>
      <w:r w:rsidR="004E179B">
        <w:rPr>
          <w:rFonts w:ascii="Times New Roman" w:hAnsi="Times New Roman" w:cs="Times New Roman"/>
        </w:rPr>
        <w:t xml:space="preserve"> With the </w:t>
      </w:r>
      <w:r w:rsidR="00B243E0">
        <w:rPr>
          <w:rFonts w:ascii="Times New Roman" w:hAnsi="Times New Roman" w:cs="Times New Roman"/>
        </w:rPr>
        <w:t>expansion of scientific</w:t>
      </w:r>
      <w:r w:rsidR="004E179B">
        <w:rPr>
          <w:rFonts w:ascii="Times New Roman" w:hAnsi="Times New Roman" w:cs="Times New Roman"/>
        </w:rPr>
        <w:t xml:space="preserve"> explorations of microbial communities associated with hosts, much attention has been given to the </w:t>
      </w:r>
      <w:r w:rsidR="002854C8">
        <w:rPr>
          <w:rFonts w:ascii="Times New Roman" w:hAnsi="Times New Roman" w:cs="Times New Roman"/>
        </w:rPr>
        <w:t>rol</w:t>
      </w:r>
      <w:r w:rsidR="00B243E0">
        <w:rPr>
          <w:rFonts w:ascii="Times New Roman" w:hAnsi="Times New Roman" w:cs="Times New Roman"/>
        </w:rPr>
        <w:t>e</w:t>
      </w:r>
      <w:r w:rsidR="004E179B">
        <w:rPr>
          <w:rFonts w:ascii="Times New Roman" w:hAnsi="Times New Roman" w:cs="Times New Roman"/>
        </w:rPr>
        <w:t xml:space="preserve"> of host traits </w:t>
      </w:r>
      <w:r w:rsidR="002854C8">
        <w:rPr>
          <w:rFonts w:ascii="Times New Roman" w:hAnsi="Times New Roman" w:cs="Times New Roman"/>
        </w:rPr>
        <w:t>in shaping communities</w:t>
      </w:r>
      <w:r w:rsidR="00B243E0">
        <w:rPr>
          <w:rFonts w:ascii="Times New Roman" w:hAnsi="Times New Roman" w:cs="Times New Roman"/>
        </w:rPr>
        <w:t>, but my results emphasize the influence of environmental colonization.</w:t>
      </w:r>
      <w:r w:rsidR="002854C8">
        <w:rPr>
          <w:rFonts w:ascii="Times New Roman" w:hAnsi="Times New Roman" w:cs="Times New Roman"/>
        </w:rPr>
        <w:t xml:space="preserve"> These results highlight the critical need for thorough, high-resolution sampling of source communities when assessing the specificity of external microbiomes associated with a particular host species.</w:t>
      </w:r>
    </w:p>
    <w:p w14:paraId="793EA28F" w14:textId="16F7B8DA" w:rsidR="006D7C47" w:rsidRDefault="00C208E9" w:rsidP="006D7C47">
      <w:pPr>
        <w:spacing w:line="360" w:lineRule="auto"/>
        <w:ind w:firstLine="720"/>
        <w:rPr>
          <w:rFonts w:ascii="Times New Roman" w:hAnsi="Times New Roman" w:cs="Times New Roman"/>
        </w:rPr>
      </w:pPr>
      <w:r>
        <w:rPr>
          <w:rFonts w:ascii="Times New Roman" w:hAnsi="Times New Roman" w:cs="Times New Roman"/>
        </w:rPr>
        <w:t xml:space="preserve">In </w:t>
      </w:r>
      <w:r w:rsidRPr="00AA423F">
        <w:rPr>
          <w:rFonts w:ascii="Times New Roman" w:hAnsi="Times New Roman" w:cs="Times New Roman"/>
          <w:b/>
          <w:bCs/>
        </w:rPr>
        <w:t xml:space="preserve">Chapter </w:t>
      </w:r>
      <w:r w:rsidR="00AA423F" w:rsidRPr="00AA423F">
        <w:rPr>
          <w:rFonts w:ascii="Times New Roman" w:hAnsi="Times New Roman" w:cs="Times New Roman"/>
          <w:b/>
          <w:bCs/>
        </w:rPr>
        <w:t>two</w:t>
      </w:r>
      <w:r>
        <w:rPr>
          <w:rFonts w:ascii="Times New Roman" w:hAnsi="Times New Roman" w:cs="Times New Roman"/>
        </w:rPr>
        <w:t xml:space="preserve">, I assessed the signatures of </w:t>
      </w:r>
      <w:r w:rsidR="00AA423F">
        <w:rPr>
          <w:rFonts w:ascii="Times New Roman" w:hAnsi="Times New Roman" w:cs="Times New Roman"/>
        </w:rPr>
        <w:t>deterministic and stochastic processes</w:t>
      </w:r>
      <w:r>
        <w:rPr>
          <w:rFonts w:ascii="Times New Roman" w:hAnsi="Times New Roman" w:cs="Times New Roman"/>
        </w:rPr>
        <w:t xml:space="preserve"> between hosts, other hosts, and cover objects in the context of priority effects, </w:t>
      </w:r>
      <w:r w:rsidR="00F72A0B">
        <w:rPr>
          <w:rFonts w:ascii="Times New Roman" w:hAnsi="Times New Roman" w:cs="Times New Roman"/>
        </w:rPr>
        <w:t>salamander-mediated</w:t>
      </w:r>
      <w:r>
        <w:rPr>
          <w:rFonts w:ascii="Times New Roman" w:hAnsi="Times New Roman" w:cs="Times New Roman"/>
        </w:rPr>
        <w:t xml:space="preserve"> selection, and random environmental transmission. </w:t>
      </w:r>
      <w:r w:rsidR="00167317">
        <w:rPr>
          <w:rFonts w:ascii="Times New Roman" w:hAnsi="Times New Roman" w:cs="Times New Roman"/>
        </w:rPr>
        <w:t xml:space="preserve">Ecological null models </w:t>
      </w:r>
      <w:r w:rsidR="005164B9">
        <w:rPr>
          <w:rFonts w:ascii="Times New Roman" w:hAnsi="Times New Roman" w:cs="Times New Roman"/>
        </w:rPr>
        <w:t>revealed</w:t>
      </w:r>
      <w:r w:rsidR="00167317">
        <w:rPr>
          <w:rFonts w:ascii="Times New Roman" w:hAnsi="Times New Roman" w:cs="Times New Roman"/>
        </w:rPr>
        <w:t xml:space="preserve"> </w:t>
      </w:r>
      <w:r w:rsidR="002A758E">
        <w:rPr>
          <w:rFonts w:ascii="Times New Roman" w:hAnsi="Times New Roman" w:cs="Times New Roman"/>
        </w:rPr>
        <w:t xml:space="preserve">that </w:t>
      </w:r>
      <w:r w:rsidR="005164B9">
        <w:rPr>
          <w:rFonts w:ascii="Times New Roman" w:hAnsi="Times New Roman" w:cs="Times New Roman"/>
        </w:rPr>
        <w:t>assemblages on cover objects</w:t>
      </w:r>
      <w:r w:rsidR="00352205">
        <w:rPr>
          <w:rFonts w:ascii="Times New Roman" w:hAnsi="Times New Roman" w:cs="Times New Roman"/>
        </w:rPr>
        <w:t xml:space="preserve"> </w:t>
      </w:r>
      <w:r w:rsidR="00167317">
        <w:rPr>
          <w:rFonts w:ascii="Times New Roman" w:hAnsi="Times New Roman" w:cs="Times New Roman"/>
        </w:rPr>
        <w:t>were</w:t>
      </w:r>
      <w:r w:rsidR="00352205">
        <w:rPr>
          <w:rFonts w:ascii="Times New Roman" w:hAnsi="Times New Roman" w:cs="Times New Roman"/>
        </w:rPr>
        <w:t xml:space="preserve"> </w:t>
      </w:r>
      <w:r w:rsidR="005164B9">
        <w:rPr>
          <w:rFonts w:ascii="Times New Roman" w:hAnsi="Times New Roman" w:cs="Times New Roman"/>
        </w:rPr>
        <w:t xml:space="preserve">comprised of </w:t>
      </w:r>
      <w:r w:rsidR="00AA423F">
        <w:rPr>
          <w:rFonts w:ascii="Times New Roman" w:hAnsi="Times New Roman" w:cs="Times New Roman"/>
        </w:rPr>
        <w:t>taxonomic</w:t>
      </w:r>
      <w:r w:rsidR="002A758E">
        <w:rPr>
          <w:rFonts w:ascii="Times New Roman" w:hAnsi="Times New Roman" w:cs="Times New Roman"/>
        </w:rPr>
        <w:t>ally</w:t>
      </w:r>
      <w:r w:rsidR="00AA423F">
        <w:rPr>
          <w:rFonts w:ascii="Times New Roman" w:hAnsi="Times New Roman" w:cs="Times New Roman"/>
        </w:rPr>
        <w:t xml:space="preserve"> </w:t>
      </w:r>
      <w:r w:rsidR="005164B9">
        <w:rPr>
          <w:rFonts w:ascii="Times New Roman" w:hAnsi="Times New Roman" w:cs="Times New Roman"/>
        </w:rPr>
        <w:t>and</w:t>
      </w:r>
      <w:r w:rsidR="00AA423F">
        <w:rPr>
          <w:rFonts w:ascii="Times New Roman" w:hAnsi="Times New Roman" w:cs="Times New Roman"/>
        </w:rPr>
        <w:t xml:space="preserve"> phylogenetically similar </w:t>
      </w:r>
      <w:proofErr w:type="gramStart"/>
      <w:r w:rsidR="005164B9">
        <w:rPr>
          <w:rFonts w:ascii="Times New Roman" w:hAnsi="Times New Roman" w:cs="Times New Roman"/>
        </w:rPr>
        <w:t>microbes</w:t>
      </w:r>
      <w:proofErr w:type="gramEnd"/>
      <w:r w:rsidR="005164B9">
        <w:rPr>
          <w:rFonts w:ascii="Times New Roman" w:hAnsi="Times New Roman" w:cs="Times New Roman"/>
        </w:rPr>
        <w:t xml:space="preserve"> </w:t>
      </w:r>
      <w:r w:rsidR="002A758E">
        <w:rPr>
          <w:rFonts w:ascii="Times New Roman" w:hAnsi="Times New Roman" w:cs="Times New Roman"/>
        </w:rPr>
        <w:t>characteristic of</w:t>
      </w:r>
      <w:r w:rsidR="005164B9">
        <w:rPr>
          <w:rFonts w:ascii="Times New Roman" w:hAnsi="Times New Roman" w:cs="Times New Roman"/>
        </w:rPr>
        <w:t xml:space="preserve"> </w:t>
      </w:r>
      <w:r w:rsidR="00F72A0B">
        <w:rPr>
          <w:rFonts w:ascii="Times New Roman" w:hAnsi="Times New Roman" w:cs="Times New Roman"/>
        </w:rPr>
        <w:t xml:space="preserve">the </w:t>
      </w:r>
      <w:r w:rsidR="00352205">
        <w:rPr>
          <w:rFonts w:ascii="Times New Roman" w:hAnsi="Times New Roman" w:cs="Times New Roman"/>
        </w:rPr>
        <w:t xml:space="preserve">microhabitat </w:t>
      </w:r>
      <w:r w:rsidR="00F72A0B">
        <w:rPr>
          <w:rFonts w:ascii="Times New Roman" w:hAnsi="Times New Roman" w:cs="Times New Roman"/>
        </w:rPr>
        <w:t>occupied by</w:t>
      </w:r>
      <w:r w:rsidR="00352205">
        <w:rPr>
          <w:rFonts w:ascii="Times New Roman" w:hAnsi="Times New Roman" w:cs="Times New Roman"/>
        </w:rPr>
        <w:t xml:space="preserve"> host species</w:t>
      </w:r>
      <w:r w:rsidR="005164B9">
        <w:rPr>
          <w:rFonts w:ascii="Times New Roman" w:hAnsi="Times New Roman" w:cs="Times New Roman"/>
        </w:rPr>
        <w:t>. Salamanders-associated communities, contrastingly, were as different as expected by chance</w:t>
      </w:r>
      <w:r w:rsidR="00551043">
        <w:rPr>
          <w:rFonts w:ascii="Times New Roman" w:hAnsi="Times New Roman" w:cs="Times New Roman"/>
        </w:rPr>
        <w:t>, reflecting idiosyncratic, rather than salamander-specific, conditions.</w:t>
      </w:r>
      <w:r w:rsidR="005164B9">
        <w:rPr>
          <w:rFonts w:ascii="Times New Roman" w:hAnsi="Times New Roman" w:cs="Times New Roman"/>
        </w:rPr>
        <w:t xml:space="preserve"> C</w:t>
      </w:r>
      <w:r w:rsidR="00AA423F">
        <w:rPr>
          <w:rFonts w:ascii="Times New Roman" w:hAnsi="Times New Roman" w:cs="Times New Roman"/>
        </w:rPr>
        <w:t>ommunities on s</w:t>
      </w:r>
      <w:r w:rsidR="00995EB7">
        <w:rPr>
          <w:rFonts w:ascii="Times New Roman" w:hAnsi="Times New Roman" w:cs="Times New Roman"/>
        </w:rPr>
        <w:t xml:space="preserve">alamanders </w:t>
      </w:r>
      <w:r w:rsidR="00AA423F">
        <w:rPr>
          <w:rFonts w:ascii="Times New Roman" w:hAnsi="Times New Roman" w:cs="Times New Roman"/>
        </w:rPr>
        <w:t>were differen</w:t>
      </w:r>
      <w:r w:rsidR="005164B9">
        <w:rPr>
          <w:rFonts w:ascii="Times New Roman" w:hAnsi="Times New Roman" w:cs="Times New Roman"/>
        </w:rPr>
        <w:t>tiated</w:t>
      </w:r>
      <w:r w:rsidR="00AA423F">
        <w:rPr>
          <w:rFonts w:ascii="Times New Roman" w:hAnsi="Times New Roman" w:cs="Times New Roman"/>
        </w:rPr>
        <w:t xml:space="preserve"> from communities on cover objects, </w:t>
      </w:r>
      <w:r w:rsidR="005164B9">
        <w:rPr>
          <w:rFonts w:ascii="Times New Roman" w:hAnsi="Times New Roman" w:cs="Times New Roman"/>
        </w:rPr>
        <w:t xml:space="preserve">but differences between host and free-living communities were along a predominately shared phylogeny and most prevalent at the lowest taxonomic levels. </w:t>
      </w:r>
      <w:r w:rsidR="00AA423F">
        <w:rPr>
          <w:rFonts w:ascii="Times New Roman" w:hAnsi="Times New Roman" w:cs="Times New Roman"/>
        </w:rPr>
        <w:t xml:space="preserve">This indicates </w:t>
      </w:r>
      <w:r w:rsidR="00551043">
        <w:rPr>
          <w:rFonts w:ascii="Times New Roman" w:hAnsi="Times New Roman" w:cs="Times New Roman"/>
        </w:rPr>
        <w:t xml:space="preserve">the salamander skin microbiome is a product of weak and random ecological </w:t>
      </w:r>
      <w:r w:rsidR="00551043">
        <w:rPr>
          <w:rFonts w:ascii="Times New Roman" w:hAnsi="Times New Roman" w:cs="Times New Roman"/>
        </w:rPr>
        <w:lastRenderedPageBreak/>
        <w:t>forces, apart from a small subset of microbes that is statistically associated with salamanders across habitats and sampling sites.</w:t>
      </w:r>
    </w:p>
    <w:p w14:paraId="0C588947" w14:textId="2DC66283" w:rsidR="001507A4" w:rsidRDefault="00DB6098" w:rsidP="001507A4">
      <w:pPr>
        <w:spacing w:line="360" w:lineRule="auto"/>
        <w:ind w:firstLine="720"/>
        <w:rPr>
          <w:rFonts w:ascii="Times New Roman" w:hAnsi="Times New Roman" w:cs="Times New Roman"/>
        </w:rPr>
      </w:pPr>
      <w:r>
        <w:rPr>
          <w:rFonts w:ascii="Times New Roman" w:hAnsi="Times New Roman" w:cs="Times New Roman"/>
        </w:rPr>
        <w:t xml:space="preserve">Finally, in </w:t>
      </w:r>
      <w:r w:rsidRPr="001507A4">
        <w:rPr>
          <w:rFonts w:ascii="Times New Roman" w:hAnsi="Times New Roman" w:cs="Times New Roman"/>
          <w:b/>
          <w:bCs/>
        </w:rPr>
        <w:t>Chapter three</w:t>
      </w:r>
      <w:r>
        <w:rPr>
          <w:rFonts w:ascii="Times New Roman" w:hAnsi="Times New Roman" w:cs="Times New Roman"/>
        </w:rPr>
        <w:t>, I assessed the temporal constancy of the salamander skin microbiome by sampling a migratory salamander between aquatic and terrestrial habitats for the course of a year. I found high community turnover between samplings seasons which was exacerbated when hosts changed habitats</w:t>
      </w:r>
      <w:r w:rsidR="001507A4">
        <w:rPr>
          <w:rFonts w:ascii="Times New Roman" w:hAnsi="Times New Roman" w:cs="Times New Roman"/>
        </w:rPr>
        <w:t>,</w:t>
      </w:r>
      <w:r>
        <w:rPr>
          <w:rFonts w:ascii="Times New Roman" w:hAnsi="Times New Roman" w:cs="Times New Roman"/>
        </w:rPr>
        <w:t xml:space="preserve"> consistent with colonization from a different regional pool of microbes. </w:t>
      </w:r>
      <w:r w:rsidR="001507A4">
        <w:rPr>
          <w:rFonts w:ascii="Times New Roman" w:hAnsi="Times New Roman" w:cs="Times New Roman"/>
        </w:rPr>
        <w:t xml:space="preserve">Microbes consistently detected on salamanders during each sampling season were equally </w:t>
      </w:r>
      <w:r w:rsidR="002A758E">
        <w:rPr>
          <w:rFonts w:ascii="Times New Roman" w:hAnsi="Times New Roman" w:cs="Times New Roman"/>
        </w:rPr>
        <w:t>represented</w:t>
      </w:r>
      <w:r w:rsidR="001507A4">
        <w:rPr>
          <w:rFonts w:ascii="Times New Roman" w:hAnsi="Times New Roman" w:cs="Times New Roman"/>
        </w:rPr>
        <w:t xml:space="preserve"> in source communities, as were microbes detectable on hosts over the course of a year. </w:t>
      </w:r>
      <w:r w:rsidR="00480B17">
        <w:rPr>
          <w:rFonts w:ascii="Times New Roman" w:hAnsi="Times New Roman" w:cs="Times New Roman"/>
        </w:rPr>
        <w:t xml:space="preserve">This corroborates results from previous chapters in that continuous environmental colonization is </w:t>
      </w:r>
      <w:r w:rsidR="002A758E">
        <w:rPr>
          <w:rFonts w:ascii="Times New Roman" w:hAnsi="Times New Roman" w:cs="Times New Roman"/>
        </w:rPr>
        <w:t xml:space="preserve">a </w:t>
      </w:r>
      <w:r w:rsidR="00480B17">
        <w:rPr>
          <w:rFonts w:ascii="Times New Roman" w:hAnsi="Times New Roman" w:cs="Times New Roman"/>
        </w:rPr>
        <w:t xml:space="preserve">consistent structuring component of external microbiomes. </w:t>
      </w:r>
      <w:r w:rsidR="00DD5674">
        <w:rPr>
          <w:rFonts w:ascii="Times New Roman" w:hAnsi="Times New Roman" w:cs="Times New Roman"/>
        </w:rPr>
        <w:t xml:space="preserve">As such, changes to environmental reservoirs (captive rearing or land-use change) will manifest changes in communities associated with amphibians. </w:t>
      </w:r>
      <w:r w:rsidR="00480B17">
        <w:rPr>
          <w:rFonts w:ascii="Times New Roman" w:hAnsi="Times New Roman" w:cs="Times New Roman"/>
        </w:rPr>
        <w:t xml:space="preserve">The seasonal dynamics of defensive microbes is particularly relevant since chytrid is most prevalent in aquatic habitats and during cooler months. I found </w:t>
      </w:r>
      <w:r w:rsidR="002A758E">
        <w:rPr>
          <w:rFonts w:ascii="Times New Roman" w:hAnsi="Times New Roman" w:cs="Times New Roman"/>
        </w:rPr>
        <w:t xml:space="preserve">potential </w:t>
      </w:r>
      <w:r w:rsidR="00480B17">
        <w:rPr>
          <w:rFonts w:ascii="Times New Roman" w:hAnsi="Times New Roman" w:cs="Times New Roman"/>
        </w:rPr>
        <w:t>defensive OTUs capable of inhibiting the growth of chytrid</w:t>
      </w:r>
      <w:r w:rsidR="001507A4">
        <w:rPr>
          <w:rFonts w:ascii="Times New Roman" w:hAnsi="Times New Roman" w:cs="Times New Roman"/>
        </w:rPr>
        <w:t xml:space="preserve"> were more prevalent in terrestrial habitats but showed persistence on salamander hosts over time</w:t>
      </w:r>
      <w:r w:rsidR="00480B17">
        <w:rPr>
          <w:rFonts w:ascii="Times New Roman" w:hAnsi="Times New Roman" w:cs="Times New Roman"/>
        </w:rPr>
        <w:t xml:space="preserve"> and space</w:t>
      </w:r>
      <w:r w:rsidR="001507A4">
        <w:rPr>
          <w:rFonts w:ascii="Times New Roman" w:hAnsi="Times New Roman" w:cs="Times New Roman"/>
        </w:rPr>
        <w:t xml:space="preserve">. </w:t>
      </w:r>
      <w:r w:rsidR="00480B17">
        <w:rPr>
          <w:rFonts w:ascii="Times New Roman" w:hAnsi="Times New Roman" w:cs="Times New Roman"/>
        </w:rPr>
        <w:t>Five of these</w:t>
      </w:r>
      <w:r w:rsidR="001507A4">
        <w:rPr>
          <w:rFonts w:ascii="Times New Roman" w:hAnsi="Times New Roman" w:cs="Times New Roman"/>
        </w:rPr>
        <w:t xml:space="preserve"> of these were statistically associated with salamanders</w:t>
      </w:r>
      <w:r w:rsidR="00480B17">
        <w:rPr>
          <w:rFonts w:ascii="Times New Roman" w:hAnsi="Times New Roman" w:cs="Times New Roman"/>
        </w:rPr>
        <w:t xml:space="preserve"> and readily detectable</w:t>
      </w:r>
      <w:r w:rsidR="001507A4">
        <w:rPr>
          <w:rFonts w:ascii="Times New Roman" w:hAnsi="Times New Roman" w:cs="Times New Roman"/>
        </w:rPr>
        <w:t xml:space="preserve">, providing evidence for </w:t>
      </w:r>
      <w:r w:rsidR="00480B17">
        <w:rPr>
          <w:rFonts w:ascii="Times New Roman" w:hAnsi="Times New Roman" w:cs="Times New Roman"/>
        </w:rPr>
        <w:t xml:space="preserve">some </w:t>
      </w:r>
      <w:r w:rsidR="001507A4">
        <w:rPr>
          <w:rFonts w:ascii="Times New Roman" w:hAnsi="Times New Roman" w:cs="Times New Roman"/>
        </w:rPr>
        <w:t>non-random associations in a</w:t>
      </w:r>
      <w:r w:rsidR="00480B17">
        <w:rPr>
          <w:rFonts w:ascii="Times New Roman" w:hAnsi="Times New Roman" w:cs="Times New Roman"/>
        </w:rPr>
        <w:t>n otherwise</w:t>
      </w:r>
      <w:r w:rsidR="001507A4">
        <w:rPr>
          <w:rFonts w:ascii="Times New Roman" w:hAnsi="Times New Roman" w:cs="Times New Roman"/>
        </w:rPr>
        <w:t xml:space="preserve"> transient community.</w:t>
      </w:r>
      <w:r w:rsidR="00DD5674">
        <w:rPr>
          <w:rFonts w:ascii="Times New Roman" w:hAnsi="Times New Roman" w:cs="Times New Roman"/>
        </w:rPr>
        <w:t xml:space="preserve"> </w:t>
      </w:r>
    </w:p>
    <w:p w14:paraId="33934755" w14:textId="2FAA3DDB" w:rsidR="001507A4" w:rsidRPr="007B5A0E" w:rsidRDefault="00DD5674" w:rsidP="001507A4">
      <w:pPr>
        <w:spacing w:line="360" w:lineRule="auto"/>
        <w:ind w:firstLine="720"/>
        <w:rPr>
          <w:rFonts w:ascii="Times New Roman" w:hAnsi="Times New Roman" w:cs="Times New Roman"/>
        </w:rPr>
      </w:pPr>
      <w:r>
        <w:rPr>
          <w:rFonts w:ascii="Times New Roman" w:hAnsi="Times New Roman" w:cs="Times New Roman"/>
        </w:rPr>
        <w:t>To conclude, h</w:t>
      </w:r>
      <w:r w:rsidR="002D49B4">
        <w:rPr>
          <w:rFonts w:ascii="Times New Roman" w:hAnsi="Times New Roman" w:cs="Times New Roman"/>
        </w:rPr>
        <w:t xml:space="preserve">ost-microbe associations </w:t>
      </w:r>
      <w:r w:rsidR="001651BE">
        <w:rPr>
          <w:rFonts w:ascii="Times New Roman" w:hAnsi="Times New Roman" w:cs="Times New Roman"/>
        </w:rPr>
        <w:t xml:space="preserve">can have profound consequences </w:t>
      </w:r>
      <w:r w:rsidR="002A758E">
        <w:rPr>
          <w:rFonts w:ascii="Times New Roman" w:hAnsi="Times New Roman" w:cs="Times New Roman"/>
        </w:rPr>
        <w:t>for</w:t>
      </w:r>
      <w:r w:rsidR="001651BE">
        <w:rPr>
          <w:rFonts w:ascii="Times New Roman" w:hAnsi="Times New Roman" w:cs="Times New Roman"/>
        </w:rPr>
        <w:t xml:space="preserve"> evolutionary trajectories of hosts by mediating physiology, behavior, and reproduction.</w:t>
      </w:r>
      <w:r w:rsidR="002D49B4">
        <w:rPr>
          <w:rFonts w:ascii="Times New Roman" w:hAnsi="Times New Roman" w:cs="Times New Roman"/>
        </w:rPr>
        <w:t xml:space="preserve"> </w:t>
      </w:r>
      <w:r w:rsidR="001651BE">
        <w:rPr>
          <w:rFonts w:ascii="Times New Roman" w:hAnsi="Times New Roman" w:cs="Times New Roman"/>
        </w:rPr>
        <w:t>In intimate relationships, hosts and symbionts</w:t>
      </w:r>
      <w:r w:rsidR="00B71FE8">
        <w:rPr>
          <w:rFonts w:ascii="Times New Roman" w:hAnsi="Times New Roman" w:cs="Times New Roman"/>
        </w:rPr>
        <w:t xml:space="preserve"> can engage in reciprocal interactions promoting co-dependence. </w:t>
      </w:r>
      <w:r w:rsidR="00766622">
        <w:rPr>
          <w:rFonts w:ascii="Times New Roman" w:hAnsi="Times New Roman" w:cs="Times New Roman"/>
        </w:rPr>
        <w:t xml:space="preserve">Environmentally acquired symbionts are more puzzling from an evolutionary perspective but can still </w:t>
      </w:r>
      <w:r w:rsidR="001651BE">
        <w:rPr>
          <w:rFonts w:ascii="Times New Roman" w:hAnsi="Times New Roman" w:cs="Times New Roman"/>
        </w:rPr>
        <w:t xml:space="preserve">engage in positive benefits for hosts. </w:t>
      </w:r>
      <w:r w:rsidR="00957F38">
        <w:rPr>
          <w:rFonts w:ascii="Times New Roman" w:hAnsi="Times New Roman" w:cs="Times New Roman"/>
        </w:rPr>
        <w:t xml:space="preserve">We show that while most microbes found on salamander skin are consistent with environmental colonization from cover objects, a few taxa showing consistent affinity for salamander </w:t>
      </w:r>
      <w:r w:rsidR="007704C7">
        <w:rPr>
          <w:rFonts w:ascii="Times New Roman" w:hAnsi="Times New Roman" w:cs="Times New Roman"/>
        </w:rPr>
        <w:t>over</w:t>
      </w:r>
      <w:r w:rsidR="00957F38">
        <w:rPr>
          <w:rFonts w:ascii="Times New Roman" w:hAnsi="Times New Roman" w:cs="Times New Roman"/>
        </w:rPr>
        <w:t xml:space="preserve"> time and space </w:t>
      </w:r>
      <w:r>
        <w:rPr>
          <w:rFonts w:ascii="Times New Roman" w:hAnsi="Times New Roman" w:cs="Times New Roman"/>
        </w:rPr>
        <w:t>show promise</w:t>
      </w:r>
      <w:r w:rsidR="00957F38">
        <w:rPr>
          <w:rFonts w:ascii="Times New Roman" w:hAnsi="Times New Roman" w:cs="Times New Roman"/>
        </w:rPr>
        <w:t xml:space="preserve"> </w:t>
      </w:r>
      <w:r w:rsidR="002A758E">
        <w:rPr>
          <w:rFonts w:ascii="Times New Roman" w:hAnsi="Times New Roman" w:cs="Times New Roman"/>
        </w:rPr>
        <w:t xml:space="preserve">for </w:t>
      </w:r>
      <w:r w:rsidR="00957F38">
        <w:rPr>
          <w:rFonts w:ascii="Times New Roman" w:hAnsi="Times New Roman" w:cs="Times New Roman"/>
        </w:rPr>
        <w:t xml:space="preserve">future investigation. Reciprocal benefits leading to co-evolutionary patterns are </w:t>
      </w:r>
      <w:r w:rsidR="007704C7">
        <w:rPr>
          <w:rFonts w:ascii="Times New Roman" w:hAnsi="Times New Roman" w:cs="Times New Roman"/>
        </w:rPr>
        <w:t xml:space="preserve">likely not to be expected for these symbionts, but mechanisms detailing persistence and </w:t>
      </w:r>
      <w:r w:rsidR="00901019">
        <w:rPr>
          <w:rFonts w:ascii="Times New Roman" w:hAnsi="Times New Roman" w:cs="Times New Roman"/>
        </w:rPr>
        <w:t xml:space="preserve">partner benefits </w:t>
      </w:r>
      <w:r>
        <w:rPr>
          <w:rFonts w:ascii="Times New Roman" w:hAnsi="Times New Roman" w:cs="Times New Roman"/>
        </w:rPr>
        <w:t xml:space="preserve">will enhance understanding of how engaging in symbiotic </w:t>
      </w:r>
      <w:r w:rsidR="00003183">
        <w:rPr>
          <w:rFonts w:ascii="Times New Roman" w:hAnsi="Times New Roman" w:cs="Times New Roman"/>
        </w:rPr>
        <w:t>relations</w:t>
      </w:r>
      <w:r>
        <w:rPr>
          <w:rFonts w:ascii="Times New Roman" w:hAnsi="Times New Roman" w:cs="Times New Roman"/>
        </w:rPr>
        <w:t xml:space="preserve"> could promote mutual benefits for both parties. </w:t>
      </w:r>
    </w:p>
    <w:p w14:paraId="63A807A5" w14:textId="0918A0F0" w:rsidR="00A961B9" w:rsidRDefault="00A961B9" w:rsidP="00A961B9">
      <w:pPr>
        <w:pStyle w:val="Heading1"/>
        <w:jc w:val="left"/>
        <w:rPr>
          <w:rFonts w:ascii="Times" w:hAnsi="Times"/>
        </w:rPr>
      </w:pPr>
    </w:p>
    <w:p w14:paraId="250DA4ED" w14:textId="10E95D2B" w:rsidR="00A961B9" w:rsidRDefault="00A961B9" w:rsidP="00A961B9">
      <w:pPr>
        <w:pStyle w:val="Heading1"/>
        <w:rPr>
          <w:rFonts w:ascii="Times New Roman" w:hAnsi="Times New Roman" w:cs="Times New Roman"/>
        </w:rPr>
      </w:pPr>
      <w:r w:rsidRPr="00A961B9">
        <w:br w:type="page"/>
      </w:r>
      <w:bookmarkStart w:id="188" w:name="_Toc165028095"/>
      <w:r w:rsidRPr="00FD633D">
        <w:rPr>
          <w:rFonts w:ascii="Times New Roman" w:hAnsi="Times New Roman" w:cs="Times New Roman"/>
        </w:rPr>
        <w:lastRenderedPageBreak/>
        <w:t>References</w:t>
      </w:r>
      <w:bookmarkEnd w:id="188"/>
    </w:p>
    <w:p w14:paraId="32C8A20C" w14:textId="77777777" w:rsidR="00A26202" w:rsidRPr="00A26202" w:rsidRDefault="00A26202" w:rsidP="00A26202"/>
    <w:p w14:paraId="177CD3F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fldChar w:fldCharType="begin"/>
      </w:r>
      <w:r w:rsidRPr="00146C93">
        <w:rPr>
          <w:rFonts w:ascii="Times New Roman" w:hAnsi="Times New Roman" w:cs="Times New Roman"/>
        </w:rPr>
        <w:instrText xml:space="preserve"> ADDIN ZOTERO_BIBL {"uncited":[],"omitted":[],"custom":[]} CSL_BIBLIOGRAPHY </w:instrText>
      </w:r>
      <w:r w:rsidRPr="00146C93">
        <w:rPr>
          <w:rFonts w:ascii="Times New Roman" w:hAnsi="Times New Roman" w:cs="Times New Roman"/>
        </w:rPr>
        <w:fldChar w:fldCharType="separate"/>
      </w:r>
      <w:r w:rsidRPr="00146C93">
        <w:rPr>
          <w:rFonts w:ascii="Times New Roman" w:hAnsi="Times New Roman" w:cs="Times New Roman"/>
        </w:rPr>
        <w:t xml:space="preserve">Abramyan, J., &amp; Stajich, J. E. (2012). Species-specific chitin-binding module 18 expansion in the amphibian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mBio</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(3), e00150-00112. https://doi.org/10.1128/mBio.00150-12</w:t>
      </w:r>
    </w:p>
    <w:p w14:paraId="2ADC899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Alekseyenko, A. V. (2016). Multivariate Welch t-test on distances. </w:t>
      </w:r>
      <w:r w:rsidRPr="00146C93">
        <w:rPr>
          <w:rFonts w:ascii="Times New Roman" w:hAnsi="Times New Roman" w:cs="Times New Roman"/>
          <w:i/>
          <w:iCs/>
        </w:rPr>
        <w:t>Bioinformatics</w:t>
      </w:r>
      <w:r w:rsidRPr="00146C93">
        <w:rPr>
          <w:rFonts w:ascii="Times New Roman" w:hAnsi="Times New Roman" w:cs="Times New Roman"/>
        </w:rPr>
        <w:t xml:space="preserve">, </w:t>
      </w:r>
      <w:r w:rsidRPr="00146C93">
        <w:rPr>
          <w:rFonts w:ascii="Times New Roman" w:hAnsi="Times New Roman" w:cs="Times New Roman"/>
          <w:i/>
          <w:iCs/>
        </w:rPr>
        <w:t>32</w:t>
      </w:r>
      <w:r w:rsidRPr="00146C93">
        <w:rPr>
          <w:rFonts w:ascii="Times New Roman" w:hAnsi="Times New Roman" w:cs="Times New Roman"/>
        </w:rPr>
        <w:t>(23), 3552–3558. https://doi.org/10.1093/bioinformatics/btw524</w:t>
      </w:r>
    </w:p>
    <w:p w14:paraId="69973E0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Allison, A. (2012). Diffuse interactions between symbiotic bacteria and salamanders. </w:t>
      </w:r>
      <w:r>
        <w:rPr>
          <w:rFonts w:ascii="Times New Roman" w:hAnsi="Times New Roman" w:cs="Times New Roman"/>
          <w:i/>
          <w:iCs/>
        </w:rPr>
        <w:t xml:space="preserve">Thesis. </w:t>
      </w:r>
      <w:r w:rsidRPr="006D32DB">
        <w:rPr>
          <w:rFonts w:ascii="Times New Roman" w:hAnsi="Times New Roman" w:cs="Times New Roman"/>
        </w:rPr>
        <w:t>University of Tennessee.</w:t>
      </w:r>
      <w:r w:rsidRPr="00146C93">
        <w:rPr>
          <w:rFonts w:ascii="Times New Roman" w:hAnsi="Times New Roman" w:cs="Times New Roman"/>
        </w:rPr>
        <w:t xml:space="preserve"> https://www.semanticscholar.org/paper/Diffuse-interactions-between-symbiotic-bacteria-and-Allison/2923fdcae79974fb1167975d8b046d88e2503787</w:t>
      </w:r>
    </w:p>
    <w:p w14:paraId="6A34242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Antwis, R. E., Edwards, K. L., Unwin, B., Walker, S. L., &amp; Shultz, S. (2019). Rare gut microbiota associated with breeding success, hormone metabolites and ovarian cycle phase in the critically endangered eastern black rhino. </w:t>
      </w:r>
      <w:r w:rsidRPr="00146C93">
        <w:rPr>
          <w:rFonts w:ascii="Times New Roman" w:hAnsi="Times New Roman" w:cs="Times New Roman"/>
          <w:i/>
          <w:iCs/>
        </w:rPr>
        <w:t>Microbiome</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(1), 27. https://doi.org/10.1186/s40168-019-0639-0</w:t>
      </w:r>
    </w:p>
    <w:p w14:paraId="6D5CE00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Antwis, R. E., Harrison, X. A., &amp; Cox, M. J. (Eds.). (2020). </w:t>
      </w:r>
      <w:r w:rsidRPr="00146C93">
        <w:rPr>
          <w:rFonts w:ascii="Times New Roman" w:hAnsi="Times New Roman" w:cs="Times New Roman"/>
          <w:i/>
          <w:iCs/>
        </w:rPr>
        <w:t>Microbiomes of Soils, Plants and Animals: An Integrated Approach</w:t>
      </w:r>
      <w:r w:rsidRPr="00146C93">
        <w:rPr>
          <w:rFonts w:ascii="Times New Roman" w:hAnsi="Times New Roman" w:cs="Times New Roman"/>
        </w:rPr>
        <w:t>. Cambridge University Press. https://doi.org/10.1017/9781108654418</w:t>
      </w:r>
    </w:p>
    <w:p w14:paraId="1F0BA59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Antwis, R. E., Haworth, R. L., Engelmoer, D. J. P., Ogilvy, V., Fidgett, A. L., &amp; Preziosi, R. F. (2014). Ex situ Diet Influences the Bacterial Community Associated with the Skin of Red-Eyed Tree Frogs (</w:t>
      </w:r>
      <w:r w:rsidRPr="006D32DB">
        <w:rPr>
          <w:rFonts w:ascii="Times New Roman" w:hAnsi="Times New Roman" w:cs="Times New Roman"/>
          <w:i/>
          <w:iCs/>
        </w:rPr>
        <w:t>Agalychnis callidryas</w:t>
      </w:r>
      <w:r w:rsidRPr="00146C93">
        <w:rPr>
          <w:rFonts w:ascii="Times New Roman" w:hAnsi="Times New Roman" w:cs="Times New Roman"/>
        </w:rPr>
        <w:t xml:space="preserve">).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(1), e85563. https://doi.org/10.1371/journal.pone.0085563</w:t>
      </w:r>
    </w:p>
    <w:p w14:paraId="1CDD6AE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Ashton, R. E., &amp; Ashton, P. S. (1978). Movements and Winter Behavior of </w:t>
      </w:r>
      <w:r w:rsidRPr="006D32DB">
        <w:rPr>
          <w:rFonts w:ascii="Times New Roman" w:hAnsi="Times New Roman" w:cs="Times New Roman"/>
          <w:i/>
          <w:iCs/>
        </w:rPr>
        <w:t xml:space="preserve">Eurycea bislineata </w:t>
      </w:r>
      <w:r w:rsidRPr="00146C93">
        <w:rPr>
          <w:rFonts w:ascii="Times New Roman" w:hAnsi="Times New Roman" w:cs="Times New Roman"/>
        </w:rPr>
        <w:t xml:space="preserve">(Amphibia, Urodela, Plethodontidae). </w:t>
      </w:r>
      <w:r w:rsidRPr="00146C93">
        <w:rPr>
          <w:rFonts w:ascii="Times New Roman" w:hAnsi="Times New Roman" w:cs="Times New Roman"/>
          <w:i/>
          <w:iCs/>
        </w:rPr>
        <w:t>Journal of Herpetology</w:t>
      </w:r>
      <w:r w:rsidRPr="00146C93">
        <w:rPr>
          <w:rFonts w:ascii="Times New Roman" w:hAnsi="Times New Roman" w:cs="Times New Roman"/>
        </w:rPr>
        <w:t xml:space="preserve">, </w:t>
      </w:r>
      <w:r w:rsidRPr="00146C93">
        <w:rPr>
          <w:rFonts w:ascii="Times New Roman" w:hAnsi="Times New Roman" w:cs="Times New Roman"/>
          <w:i/>
          <w:iCs/>
        </w:rPr>
        <w:t>12</w:t>
      </w:r>
      <w:r w:rsidRPr="00146C93">
        <w:rPr>
          <w:rFonts w:ascii="Times New Roman" w:hAnsi="Times New Roman" w:cs="Times New Roman"/>
        </w:rPr>
        <w:t>(3), 295–298. https://doi.org/10.2307/1563609</w:t>
      </w:r>
    </w:p>
    <w:p w14:paraId="755AE4D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Augustine, L., &amp; Neff, M. (2016). Determining the prevalence of Amphibian Chytrid Fungus (</w:t>
      </w:r>
      <w:r w:rsidRPr="00F45682">
        <w:rPr>
          <w:rFonts w:ascii="Times New Roman" w:hAnsi="Times New Roman" w:cs="Times New Roman"/>
          <w:i/>
          <w:iCs/>
        </w:rPr>
        <w:t>Batrachochytrium dendrobatidis</w:t>
      </w:r>
      <w:r w:rsidRPr="00146C93">
        <w:rPr>
          <w:rFonts w:ascii="Times New Roman" w:hAnsi="Times New Roman" w:cs="Times New Roman"/>
        </w:rPr>
        <w:t xml:space="preserve">) and Ranavirus at Long Branch Nature Center in Arlington, Virginia. </w:t>
      </w:r>
      <w:r w:rsidRPr="00146C93">
        <w:rPr>
          <w:rFonts w:ascii="Times New Roman" w:hAnsi="Times New Roman" w:cs="Times New Roman"/>
          <w:i/>
          <w:iCs/>
        </w:rPr>
        <w:t>Catesbeiana</w:t>
      </w:r>
      <w:r w:rsidRPr="00146C93">
        <w:rPr>
          <w:rFonts w:ascii="Times New Roman" w:hAnsi="Times New Roman" w:cs="Times New Roman"/>
        </w:rPr>
        <w:t xml:space="preserve">, </w:t>
      </w:r>
      <w:r w:rsidRPr="00146C93">
        <w:rPr>
          <w:rFonts w:ascii="Times New Roman" w:hAnsi="Times New Roman" w:cs="Times New Roman"/>
          <w:i/>
          <w:iCs/>
        </w:rPr>
        <w:t>36</w:t>
      </w:r>
      <w:r w:rsidRPr="00146C93">
        <w:rPr>
          <w:rFonts w:ascii="Times New Roman" w:hAnsi="Times New Roman" w:cs="Times New Roman"/>
        </w:rPr>
        <w:t>(1). http://ww.virginiaherpetologicalsociety.com/catesbeiana-pdf/cat36n1/v36n1-Determining_the_prevalence_of_Amphibian_Chytrid_Fungus_and_Ranavirus_at_Long_Branch_Nature_Center_in_Arlington_Virginia.pdf</w:t>
      </w:r>
    </w:p>
    <w:p w14:paraId="3B0A5D3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Austin, R. (2000). Cutaneous microbial flora and antibiosis in </w:t>
      </w:r>
      <w:r w:rsidRPr="00B122F1">
        <w:rPr>
          <w:rFonts w:ascii="Times New Roman" w:hAnsi="Times New Roman" w:cs="Times New Roman"/>
          <w:i/>
          <w:iCs/>
        </w:rPr>
        <w:t>Plethodon ventralis.</w:t>
      </w:r>
      <w:r w:rsidRPr="00146C93">
        <w:rPr>
          <w:rFonts w:ascii="Times New Roman" w:hAnsi="Times New Roman" w:cs="Times New Roman"/>
        </w:rPr>
        <w:t xml:space="preserve"> </w:t>
      </w:r>
      <w:r w:rsidRPr="00146C93">
        <w:rPr>
          <w:rFonts w:ascii="Times New Roman" w:hAnsi="Times New Roman" w:cs="Times New Roman"/>
          <w:i/>
          <w:iCs/>
        </w:rPr>
        <w:t>The Biology of Plethodontid Salamanders</w:t>
      </w:r>
      <w:r w:rsidRPr="00146C93">
        <w:rPr>
          <w:rFonts w:ascii="Times New Roman" w:hAnsi="Times New Roman" w:cs="Times New Roman"/>
        </w:rPr>
        <w:t>, 451–461.</w:t>
      </w:r>
    </w:p>
    <w:p w14:paraId="17A778C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Barbosa, E. A., Alves, G. S. C., Coura, M. de M. A., Silva, H. de L. e, Rocha, F. S. da, Nunes, J. B., Watanabe, M. de S., Andrade, A. C., &amp; Brand, G. D. (2022). A first look at the N- and O-glycosylation landscape in anuran skin secretions. </w:t>
      </w:r>
      <w:r w:rsidRPr="00146C93">
        <w:rPr>
          <w:rFonts w:ascii="Times New Roman" w:hAnsi="Times New Roman" w:cs="Times New Roman"/>
          <w:i/>
          <w:iCs/>
        </w:rPr>
        <w:t>Biochimie</w:t>
      </w:r>
      <w:r w:rsidRPr="00146C93">
        <w:rPr>
          <w:rFonts w:ascii="Times New Roman" w:hAnsi="Times New Roman" w:cs="Times New Roman"/>
        </w:rPr>
        <w:t xml:space="preserve">, </w:t>
      </w:r>
      <w:r w:rsidRPr="00146C93">
        <w:rPr>
          <w:rFonts w:ascii="Times New Roman" w:hAnsi="Times New Roman" w:cs="Times New Roman"/>
          <w:i/>
          <w:iCs/>
        </w:rPr>
        <w:t>197</w:t>
      </w:r>
      <w:r w:rsidRPr="00146C93">
        <w:rPr>
          <w:rFonts w:ascii="Times New Roman" w:hAnsi="Times New Roman" w:cs="Times New Roman"/>
        </w:rPr>
        <w:t>, 19–37. https://doi.org/10.1016/j.biochi.2022.01.008</w:t>
      </w:r>
    </w:p>
    <w:p w14:paraId="0ED123B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Barnes, E. M., Carter, E. L., &amp; Lewis, J. D. (2020). Predicting Microbiome Function Across Space Is Confounded by Strain-Level Differences and Functional Redundancy Across Taxa.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 https://doi.org/10.3389/fmicb.2020.00101</w:t>
      </w:r>
    </w:p>
    <w:p w14:paraId="0852F60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Barnhart, K., Bletz, M. C., LaBumbard, B., Tokash‐Peters, A., Gabor, C. R., &amp; Woodhams, D. C. (2020). </w:t>
      </w:r>
      <w:r w:rsidRPr="00F45682">
        <w:rPr>
          <w:rFonts w:ascii="Times New Roman" w:hAnsi="Times New Roman" w:cs="Times New Roman"/>
          <w:i/>
          <w:iCs/>
        </w:rPr>
        <w:t xml:space="preserve">Batrachochytrium salamandrivorans </w:t>
      </w:r>
      <w:r w:rsidRPr="00146C93">
        <w:rPr>
          <w:rFonts w:ascii="Times New Roman" w:hAnsi="Times New Roman" w:cs="Times New Roman"/>
        </w:rPr>
        <w:t xml:space="preserve">elicits acute stress response in spotted salamanders but not infection or mortality. </w:t>
      </w:r>
      <w:r w:rsidRPr="00146C93">
        <w:rPr>
          <w:rFonts w:ascii="Times New Roman" w:hAnsi="Times New Roman" w:cs="Times New Roman"/>
          <w:i/>
          <w:iCs/>
        </w:rPr>
        <w:t>Animal Conservation</w:t>
      </w:r>
      <w:r w:rsidRPr="00146C93">
        <w:rPr>
          <w:rFonts w:ascii="Times New Roman" w:hAnsi="Times New Roman" w:cs="Times New Roman"/>
        </w:rPr>
        <w:t xml:space="preserve">, </w:t>
      </w:r>
      <w:r w:rsidRPr="00146C93">
        <w:rPr>
          <w:rFonts w:ascii="Times New Roman" w:hAnsi="Times New Roman" w:cs="Times New Roman"/>
          <w:i/>
          <w:iCs/>
        </w:rPr>
        <w:t>23</w:t>
      </w:r>
      <w:r w:rsidRPr="00146C93">
        <w:rPr>
          <w:rFonts w:ascii="Times New Roman" w:hAnsi="Times New Roman" w:cs="Times New Roman"/>
        </w:rPr>
        <w:t>(5), 533–546. https://doi.org/10.1111/acv.12565</w:t>
      </w:r>
    </w:p>
    <w:p w14:paraId="71B50AE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Bascompte, J., &amp; Olesen, J. M. (2015). Mutualistic Networks in Mutualism. </w:t>
      </w:r>
      <w:r w:rsidRPr="00146C93">
        <w:rPr>
          <w:rFonts w:ascii="Times New Roman" w:hAnsi="Times New Roman" w:cs="Times New Roman"/>
          <w:i/>
          <w:iCs/>
        </w:rPr>
        <w:t>Oxford University Press</w:t>
      </w:r>
      <w:r w:rsidRPr="00146C93">
        <w:rPr>
          <w:rFonts w:ascii="Times New Roman" w:hAnsi="Times New Roman" w:cs="Times New Roman"/>
        </w:rPr>
        <w:t>.</w:t>
      </w:r>
    </w:p>
    <w:p w14:paraId="4970787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Bates, K. A., Sommer, U., Hopkins, K. P., Shelton, J. M. G., Wierzbicki, C., Sergeant, C., Tapley, B., Michaels, C. J., Schmeller, D. S., Loyau, A., Bosch, J., Viant, M. R., Harrison, X. A., Garner, T. W. J., &amp; Fisher, M. C. (2022). Microbiome function predicts amphibian chytridiomycosis disease dynamics. </w:t>
      </w:r>
      <w:r w:rsidRPr="00146C93">
        <w:rPr>
          <w:rFonts w:ascii="Times New Roman" w:hAnsi="Times New Roman" w:cs="Times New Roman"/>
          <w:i/>
          <w:iCs/>
        </w:rPr>
        <w:t>Microbiome</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(1), 44. https://doi.org/10.1186/s40168-021-01215-6</w:t>
      </w:r>
    </w:p>
    <w:p w14:paraId="7ACA55C1" w14:textId="77777777" w:rsidR="00A961B9" w:rsidRPr="001D6CF7" w:rsidRDefault="00A961B9" w:rsidP="00A961B9">
      <w:pPr>
        <w:ind w:left="720" w:hanging="720"/>
      </w:pPr>
      <w:r w:rsidRPr="00146C93">
        <w:rPr>
          <w:rFonts w:ascii="Times New Roman" w:hAnsi="Times New Roman" w:cs="Times New Roman"/>
        </w:rPr>
        <w:t xml:space="preserve">Bauer, K. L., Steeil, J. C., Walsh, T. F., Evans, M. J., Klocke, B., Gratwicke, B., Siegal-Willott, J. L., &amp; Neiffer, D. L. (2018). </w:t>
      </w:r>
      <w:r w:rsidRPr="001D6CF7">
        <w:rPr>
          <w:rFonts w:ascii="Times New Roman" w:hAnsi="Times New Roman" w:cs="Times New Roman"/>
          <w:i/>
          <w:iCs/>
        </w:rPr>
        <w:t>Batrachochytrium dendrobatidis</w:t>
      </w:r>
      <w:r>
        <w:rPr>
          <w:rFonts w:ascii="Times New Roman" w:hAnsi="Times New Roman" w:cs="Times New Roman"/>
        </w:rPr>
        <w:t xml:space="preserve"> in a captive collection of Green Salamanders (</w:t>
      </w:r>
      <w:r w:rsidRPr="001D6CF7">
        <w:rPr>
          <w:rFonts w:ascii="Times New Roman" w:hAnsi="Times New Roman" w:cs="Times New Roman"/>
          <w:i/>
          <w:iCs/>
        </w:rPr>
        <w:t>Aneides aeneus</w:t>
      </w:r>
      <w:r>
        <w:rPr>
          <w:rFonts w:ascii="Times New Roman" w:hAnsi="Times New Roman" w:cs="Times New Roman"/>
        </w:rPr>
        <w:t>), Long-tailed salamanders (</w:t>
      </w:r>
      <w:r w:rsidRPr="001D6CF7">
        <w:rPr>
          <w:rFonts w:ascii="Times New Roman" w:hAnsi="Times New Roman" w:cs="Times New Roman"/>
          <w:i/>
          <w:iCs/>
        </w:rPr>
        <w:t>Eurycea longicauda</w:t>
      </w:r>
      <w:r>
        <w:rPr>
          <w:rFonts w:ascii="Times New Roman" w:hAnsi="Times New Roman" w:cs="Times New Roman"/>
        </w:rPr>
        <w:t>) and Two-lined salamanders (</w:t>
      </w:r>
      <w:r w:rsidRPr="001D6CF7">
        <w:rPr>
          <w:rFonts w:ascii="Times New Roman" w:hAnsi="Times New Roman" w:cs="Times New Roman"/>
          <w:i/>
          <w:iCs/>
        </w:rPr>
        <w:t>Eurycea bislineata</w:t>
      </w:r>
      <w:r>
        <w:rPr>
          <w:rFonts w:ascii="Times New Roman" w:hAnsi="Times New Roman" w:cs="Times New Roman"/>
        </w:rPr>
        <w:t>)</w:t>
      </w:r>
    </w:p>
    <w:p w14:paraId="3F48B5D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 </w:t>
      </w:r>
      <w:r w:rsidRPr="00146C93">
        <w:rPr>
          <w:rFonts w:ascii="Times New Roman" w:hAnsi="Times New Roman" w:cs="Times New Roman"/>
          <w:i/>
          <w:iCs/>
        </w:rPr>
        <w:t>Journal of Zoo and Wildlife Medicine</w:t>
      </w:r>
      <w:r w:rsidRPr="00146C93">
        <w:rPr>
          <w:rFonts w:ascii="Times New Roman" w:hAnsi="Times New Roman" w:cs="Times New Roman"/>
        </w:rPr>
        <w:t xml:space="preserve">, </w:t>
      </w:r>
      <w:r w:rsidRPr="00146C93">
        <w:rPr>
          <w:rFonts w:ascii="Times New Roman" w:hAnsi="Times New Roman" w:cs="Times New Roman"/>
          <w:i/>
          <w:iCs/>
        </w:rPr>
        <w:t>49</w:t>
      </w:r>
      <w:r w:rsidRPr="00146C93">
        <w:rPr>
          <w:rFonts w:ascii="Times New Roman" w:hAnsi="Times New Roman" w:cs="Times New Roman"/>
        </w:rPr>
        <w:t>(2), 454–459. https://doi.org/10.1638/2017-0174.1</w:t>
      </w:r>
    </w:p>
    <w:p w14:paraId="6375B69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Beachy, C. K., &amp; Bruce, R. C. (1992). Lunglessness in Plethodontid Salamanders is Consistent with the Hypothesis of a Mountain Stream Origin: A Response to Ruben and Boucot. </w:t>
      </w:r>
      <w:r w:rsidRPr="00146C93">
        <w:rPr>
          <w:rFonts w:ascii="Times New Roman" w:hAnsi="Times New Roman" w:cs="Times New Roman"/>
          <w:i/>
          <w:iCs/>
        </w:rPr>
        <w:t>The American Naturalist</w:t>
      </w:r>
      <w:r w:rsidRPr="00146C93">
        <w:rPr>
          <w:rFonts w:ascii="Times New Roman" w:hAnsi="Times New Roman" w:cs="Times New Roman"/>
        </w:rPr>
        <w:t xml:space="preserve">, </w:t>
      </w:r>
      <w:r w:rsidRPr="00146C93">
        <w:rPr>
          <w:rFonts w:ascii="Times New Roman" w:hAnsi="Times New Roman" w:cs="Times New Roman"/>
          <w:i/>
          <w:iCs/>
        </w:rPr>
        <w:t>139</w:t>
      </w:r>
      <w:r w:rsidRPr="00146C93">
        <w:rPr>
          <w:rFonts w:ascii="Times New Roman" w:hAnsi="Times New Roman" w:cs="Times New Roman"/>
        </w:rPr>
        <w:t>(4), 839–847.</w:t>
      </w:r>
    </w:p>
    <w:p w14:paraId="35EA16B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Becker, M. H., Walke, J. B., Murrill, L., Woodhams, D. C., Reinert, L. K., Rollins-Smith, L. A., Burzynski, E. A., Umile, T. P., Minbiole, K. P. C., &amp; Belden, L. K. (2015). Phylogenetic distribution of symbiotic bacteria from Panamanian amphibians that inhibit growth of the lethal fungal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Molecular Ecology</w:t>
      </w:r>
      <w:r w:rsidRPr="00146C93">
        <w:rPr>
          <w:rFonts w:ascii="Times New Roman" w:hAnsi="Times New Roman" w:cs="Times New Roman"/>
        </w:rPr>
        <w:t xml:space="preserve">, </w:t>
      </w:r>
      <w:r w:rsidRPr="00146C93">
        <w:rPr>
          <w:rFonts w:ascii="Times New Roman" w:hAnsi="Times New Roman" w:cs="Times New Roman"/>
          <w:i/>
          <w:iCs/>
        </w:rPr>
        <w:t>24</w:t>
      </w:r>
      <w:r w:rsidRPr="00146C93">
        <w:rPr>
          <w:rFonts w:ascii="Times New Roman" w:hAnsi="Times New Roman" w:cs="Times New Roman"/>
        </w:rPr>
        <w:t>(7), 1628–1641. https://doi.org/10.1111/mec.13135</w:t>
      </w:r>
    </w:p>
    <w:p w14:paraId="707576B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Belden, L. K., Hughey, M. C., Rebollar, E. A., Umile, T. P., Loftus, S. C., Burzynski, E. A., Minbiole, K. P. C., House, L. L., Jensen, R. V., Becker, M. H., Walke, J. B., Medina, D., Ibáñez, R., &amp; Harris, R. N. (2015). Panamanian frog species host unique skin bacterial communities.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 https://doi.org/10.3389/fmicb.2015.01171</w:t>
      </w:r>
    </w:p>
    <w:p w14:paraId="6558325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Belley, A., Keller, K., Göttke, M., &amp; Chadee, K. (1999). Intestinal mucins in colonization and host defense against pathogens. </w:t>
      </w:r>
      <w:r w:rsidRPr="00146C93">
        <w:rPr>
          <w:rFonts w:ascii="Times New Roman" w:hAnsi="Times New Roman" w:cs="Times New Roman"/>
          <w:i/>
          <w:iCs/>
        </w:rPr>
        <w:t>The American Journal of Tropical Medicine and Hygiene</w:t>
      </w:r>
      <w:r w:rsidRPr="00146C93">
        <w:rPr>
          <w:rFonts w:ascii="Times New Roman" w:hAnsi="Times New Roman" w:cs="Times New Roman"/>
        </w:rPr>
        <w:t xml:space="preserve">, </w:t>
      </w:r>
      <w:r w:rsidRPr="00146C93">
        <w:rPr>
          <w:rFonts w:ascii="Times New Roman" w:hAnsi="Times New Roman" w:cs="Times New Roman"/>
          <w:i/>
          <w:iCs/>
        </w:rPr>
        <w:t>60</w:t>
      </w:r>
      <w:r w:rsidRPr="00146C93">
        <w:rPr>
          <w:rFonts w:ascii="Times New Roman" w:hAnsi="Times New Roman" w:cs="Times New Roman"/>
        </w:rPr>
        <w:t>(4_suppl), 10–15. https://doi.org/10.4269/ajtmh.1999.60.10</w:t>
      </w:r>
    </w:p>
    <w:p w14:paraId="038FB74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Bickford, D., Iskandar, D., &amp; Barlian, A. (2008). A lungless frog discovered on Borneo. </w:t>
      </w:r>
      <w:r w:rsidRPr="00146C93">
        <w:rPr>
          <w:rFonts w:ascii="Times New Roman" w:hAnsi="Times New Roman" w:cs="Times New Roman"/>
          <w:i/>
          <w:iCs/>
        </w:rPr>
        <w:t>Current Biology</w:t>
      </w:r>
      <w:r w:rsidRPr="00146C93">
        <w:rPr>
          <w:rFonts w:ascii="Times New Roman" w:hAnsi="Times New Roman" w:cs="Times New Roman"/>
        </w:rPr>
        <w:t xml:space="preserve">, </w:t>
      </w:r>
      <w:r w:rsidRPr="00146C93">
        <w:rPr>
          <w:rFonts w:ascii="Times New Roman" w:hAnsi="Times New Roman" w:cs="Times New Roman"/>
          <w:i/>
          <w:iCs/>
        </w:rPr>
        <w:t>18</w:t>
      </w:r>
      <w:r w:rsidRPr="00146C93">
        <w:rPr>
          <w:rFonts w:ascii="Times New Roman" w:hAnsi="Times New Roman" w:cs="Times New Roman"/>
        </w:rPr>
        <w:t>(9), R374–R375. https://doi.org/10.1016/j.cub.2008.03.010</w:t>
      </w:r>
    </w:p>
    <w:p w14:paraId="3B76F4D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Bird, A. K., Prado-Irwin, S. R., Vredenburg, V. T., &amp; Zink, A. G. (2018a). Skin Microbiomes of California Terrestrial Salamanders Are Influenced by Habitat More Than Host Phylogeny.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 https://doi.org/10.3389/fmicb.2018.00442</w:t>
      </w:r>
    </w:p>
    <w:p w14:paraId="5D9A971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Bird, A. K., Prado-Irwin, S. R., Vredenburg, V. T., &amp; Zink, A. G. (2018b). Skin Microbiomes of California Terrestrial Salamanders Are Influenced by Habitat More Than Host Phylogeny.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 https://www.frontiersin.org/article/10.3389/fmicb.2018.00442</w:t>
      </w:r>
    </w:p>
    <w:p w14:paraId="0EA445A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Blackburn, M., Wayland, J., Smith, W., McKenna, J., Harry, M., Hamed, M., Gray, M., &amp; Miller, D. (2015). First Report of Ranavirus and </w:t>
      </w:r>
      <w:r w:rsidRPr="00F45682">
        <w:rPr>
          <w:rFonts w:ascii="Times New Roman" w:hAnsi="Times New Roman" w:cs="Times New Roman"/>
          <w:i/>
          <w:iCs/>
        </w:rPr>
        <w:t xml:space="preserve">Batrachochytrium dendrobatidis </w:t>
      </w:r>
      <w:r w:rsidRPr="00146C93">
        <w:rPr>
          <w:rFonts w:ascii="Times New Roman" w:hAnsi="Times New Roman" w:cs="Times New Roman"/>
        </w:rPr>
        <w:t xml:space="preserve">in Green Salamanders (Aneides aeneus) from Virginia, USA. </w:t>
      </w:r>
      <w:r w:rsidRPr="00146C93">
        <w:rPr>
          <w:rFonts w:ascii="Times New Roman" w:hAnsi="Times New Roman" w:cs="Times New Roman"/>
          <w:i/>
          <w:iCs/>
        </w:rPr>
        <w:t>Herpetological Review</w:t>
      </w:r>
      <w:r w:rsidRPr="00146C93">
        <w:rPr>
          <w:rFonts w:ascii="Times New Roman" w:hAnsi="Times New Roman" w:cs="Times New Roman"/>
        </w:rPr>
        <w:t xml:space="preserve">, </w:t>
      </w:r>
      <w:r w:rsidRPr="00146C93">
        <w:rPr>
          <w:rFonts w:ascii="Times New Roman" w:hAnsi="Times New Roman" w:cs="Times New Roman"/>
          <w:i/>
          <w:iCs/>
        </w:rPr>
        <w:t>46</w:t>
      </w:r>
      <w:r w:rsidRPr="00146C93">
        <w:rPr>
          <w:rFonts w:ascii="Times New Roman" w:hAnsi="Times New Roman" w:cs="Times New Roman"/>
        </w:rPr>
        <w:t>, 357–361.</w:t>
      </w:r>
    </w:p>
    <w:p w14:paraId="4F10AC6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Bletz, M. C., Archer, H., Harris, R. N., McKenzie, V. J., Rabemananjara, F. C. E., Rakotoarison, A., &amp; Vences, M. (2017). Host Ecology Rather Than Host Phylogeny Drives Amphibian Skin Microbial Community Structure in the Biodiversity Hotspot of Madagascar.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 https://doi.org/10.3389/fmicb.2017.01530</w:t>
      </w:r>
    </w:p>
    <w:p w14:paraId="4DB3912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Bletz, M. C., Perl, R. G. B., Bobowski, B. T., Japke, L. M., Tebbe, C. C., Dohrmann, A. B., Bhuju, S., Geffers, R., Jarek, M., &amp; Vences, M. (2017). Amphibian skin microbiota exhibits temporal variation in community structure but stability of predicted Bd -inhibitory function.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(7), Article 7. https://doi.org/10.1038/ismej.2017.41</w:t>
      </w:r>
    </w:p>
    <w:p w14:paraId="7CD3C6C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Bletz, M. C., Perl, R. G. B., &amp; Vences, M. (2017). Skin microbiota differs drastically between co-occurring frogs and newts. </w:t>
      </w:r>
      <w:r w:rsidRPr="00146C93">
        <w:rPr>
          <w:rFonts w:ascii="Times New Roman" w:hAnsi="Times New Roman" w:cs="Times New Roman"/>
          <w:i/>
          <w:iCs/>
        </w:rPr>
        <w:t>Royal Society Open Science</w:t>
      </w:r>
      <w:r w:rsidRPr="00146C93">
        <w:rPr>
          <w:rFonts w:ascii="Times New Roman" w:hAnsi="Times New Roman" w:cs="Times New Roman"/>
        </w:rPr>
        <w:t xml:space="preserve">, </w:t>
      </w:r>
      <w:r w:rsidRPr="00146C93">
        <w:rPr>
          <w:rFonts w:ascii="Times New Roman" w:hAnsi="Times New Roman" w:cs="Times New Roman"/>
          <w:i/>
          <w:iCs/>
        </w:rPr>
        <w:t>4</w:t>
      </w:r>
      <w:r w:rsidRPr="00146C93">
        <w:rPr>
          <w:rFonts w:ascii="Times New Roman" w:hAnsi="Times New Roman" w:cs="Times New Roman"/>
        </w:rPr>
        <w:t>(4), 170107. https://doi.org/10.1098/rsos.170107</w:t>
      </w:r>
    </w:p>
    <w:p w14:paraId="637CA83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Boettiger, C., Coop, G., &amp; Ralph, P. (2012). Is Your Phylogeny Informative? Measuring the Power of Comparative Methods. </w:t>
      </w:r>
      <w:r w:rsidRPr="00146C93">
        <w:rPr>
          <w:rFonts w:ascii="Times New Roman" w:hAnsi="Times New Roman" w:cs="Times New Roman"/>
          <w:i/>
          <w:iCs/>
        </w:rPr>
        <w:t>Evolution</w:t>
      </w:r>
      <w:r w:rsidRPr="00146C93">
        <w:rPr>
          <w:rFonts w:ascii="Times New Roman" w:hAnsi="Times New Roman" w:cs="Times New Roman"/>
        </w:rPr>
        <w:t xml:space="preserve">, </w:t>
      </w:r>
      <w:r w:rsidRPr="00146C93">
        <w:rPr>
          <w:rFonts w:ascii="Times New Roman" w:hAnsi="Times New Roman" w:cs="Times New Roman"/>
          <w:i/>
          <w:iCs/>
        </w:rPr>
        <w:t>66</w:t>
      </w:r>
      <w:r w:rsidRPr="00146C93">
        <w:rPr>
          <w:rFonts w:ascii="Times New Roman" w:hAnsi="Times New Roman" w:cs="Times New Roman"/>
        </w:rPr>
        <w:t>(7), 2240–2251. https://doi.org/10.1111/j.1558-5646.2011.01574.x</w:t>
      </w:r>
    </w:p>
    <w:p w14:paraId="404D1D9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Bolyen, E., Rideout, J. R., Dillon, M. R., Bokulich, N. A., Abnet, C., Al-Ghalith, G. A., Alexander, H., Alm, E. J., Arumugam, M., Asnicar, F., Bai, Y., Bisanz, J. E., Bittinger, K., Brejnrod, A., Brislawn, C. J., Brown, C. T., Callahan, B. J., Caraballo-Rodríguez, A. M., Chase, J., … Caporaso, J. G. (2018). </w:t>
      </w:r>
      <w:r w:rsidRPr="00146C93">
        <w:rPr>
          <w:rFonts w:ascii="Times New Roman" w:hAnsi="Times New Roman" w:cs="Times New Roman"/>
          <w:i/>
          <w:iCs/>
        </w:rPr>
        <w:t>QIIME 2: Reproducible, interactive, scalable, and extensible microbiome data science</w:t>
      </w:r>
      <w:r w:rsidRPr="00146C93">
        <w:rPr>
          <w:rFonts w:ascii="Times New Roman" w:hAnsi="Times New Roman" w:cs="Times New Roman"/>
        </w:rPr>
        <w:t xml:space="preserve"> (e27295v2). PeerJ Inc. https://doi.org/10.7287/peerj.preprints.27295v2</w:t>
      </w:r>
    </w:p>
    <w:p w14:paraId="69760A9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Bolyen, E., Rideout, J. R., Dillon, M. R., Bokulich, N. A., Abnet, C. C., Al-Ghalith, G. A., Alexander, H., Alm, E. J., Arumugam, M., Asnicar, F., Bai, Y., Bisanz, J. E., Bittinger, K., Brejnrod, A., Brislawn, C. J., Brown, C. T., Callahan, B. J., Caraballo-Rodríguez, A. M., Chase, J., … Caporaso, J. G. (2019). Reproducible, interactive, scalable and extensible microbiome data science using QIIME 2. </w:t>
      </w:r>
      <w:r w:rsidRPr="00146C93">
        <w:rPr>
          <w:rFonts w:ascii="Times New Roman" w:hAnsi="Times New Roman" w:cs="Times New Roman"/>
          <w:i/>
          <w:iCs/>
        </w:rPr>
        <w:t>Nature Biotechnology</w:t>
      </w:r>
      <w:r w:rsidRPr="00146C93">
        <w:rPr>
          <w:rFonts w:ascii="Times New Roman" w:hAnsi="Times New Roman" w:cs="Times New Roman"/>
        </w:rPr>
        <w:t xml:space="preserve">, </w:t>
      </w:r>
      <w:r w:rsidRPr="00146C93">
        <w:rPr>
          <w:rFonts w:ascii="Times New Roman" w:hAnsi="Times New Roman" w:cs="Times New Roman"/>
          <w:i/>
          <w:iCs/>
        </w:rPr>
        <w:t>37</w:t>
      </w:r>
      <w:r w:rsidRPr="00146C93">
        <w:rPr>
          <w:rFonts w:ascii="Times New Roman" w:hAnsi="Times New Roman" w:cs="Times New Roman"/>
        </w:rPr>
        <w:t>(8), 852–857. https://doi.org/10.1038/s41587-019-0209-9</w:t>
      </w:r>
    </w:p>
    <w:p w14:paraId="70822F8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Bordenstein, S. R., &amp; Theis, K. R. (2015). </w:t>
      </w:r>
      <w:r w:rsidRPr="00146C93">
        <w:rPr>
          <w:rFonts w:ascii="Times New Roman" w:hAnsi="Times New Roman" w:cs="Times New Roman"/>
          <w:i/>
          <w:iCs/>
        </w:rPr>
        <w:t>Host Biology in Light of the Microbiome: Ten Principles of Holobionts and Hologenomes</w:t>
      </w:r>
      <w:r w:rsidRPr="00146C93">
        <w:rPr>
          <w:rFonts w:ascii="Times New Roman" w:hAnsi="Times New Roman" w:cs="Times New Roman"/>
        </w:rPr>
        <w:t>. https://doi.org/10.1371/journal.pbio.1002226</w:t>
      </w:r>
    </w:p>
    <w:p w14:paraId="4D664FF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Brandon, R. A., &amp; Huheey, J. E. (1981). Toxicity in the plethodontid salamanders </w:t>
      </w:r>
      <w:r w:rsidRPr="00B122F1">
        <w:rPr>
          <w:rFonts w:ascii="Times New Roman" w:hAnsi="Times New Roman" w:cs="Times New Roman"/>
          <w:i/>
          <w:iCs/>
        </w:rPr>
        <w:t>Pseudotriton ruber</w:t>
      </w:r>
      <w:r w:rsidRPr="00146C93">
        <w:rPr>
          <w:rFonts w:ascii="Times New Roman" w:hAnsi="Times New Roman" w:cs="Times New Roman"/>
        </w:rPr>
        <w:t xml:space="preserve"> and </w:t>
      </w:r>
      <w:r w:rsidRPr="00B122F1">
        <w:rPr>
          <w:rFonts w:ascii="Times New Roman" w:hAnsi="Times New Roman" w:cs="Times New Roman"/>
          <w:i/>
          <w:iCs/>
        </w:rPr>
        <w:t>Pseudotriton montanus</w:t>
      </w:r>
      <w:r w:rsidRPr="00146C93">
        <w:rPr>
          <w:rFonts w:ascii="Times New Roman" w:hAnsi="Times New Roman" w:cs="Times New Roman"/>
        </w:rPr>
        <w:t xml:space="preserve"> (Amphibia, Caudata). </w:t>
      </w:r>
      <w:r w:rsidRPr="00146C93">
        <w:rPr>
          <w:rFonts w:ascii="Times New Roman" w:hAnsi="Times New Roman" w:cs="Times New Roman"/>
          <w:i/>
          <w:iCs/>
        </w:rPr>
        <w:t>Toxicon</w:t>
      </w:r>
      <w:r w:rsidRPr="00146C93">
        <w:rPr>
          <w:rFonts w:ascii="Times New Roman" w:hAnsi="Times New Roman" w:cs="Times New Roman"/>
        </w:rPr>
        <w:t xml:space="preserve">, </w:t>
      </w:r>
      <w:r w:rsidRPr="00146C93">
        <w:rPr>
          <w:rFonts w:ascii="Times New Roman" w:hAnsi="Times New Roman" w:cs="Times New Roman"/>
          <w:i/>
          <w:iCs/>
        </w:rPr>
        <w:t>19</w:t>
      </w:r>
      <w:r w:rsidRPr="00146C93">
        <w:rPr>
          <w:rFonts w:ascii="Times New Roman" w:hAnsi="Times New Roman" w:cs="Times New Roman"/>
        </w:rPr>
        <w:t>(1), 25–31. https://doi.org/10.1016/0041-0101(81)90114-8</w:t>
      </w:r>
    </w:p>
    <w:p w14:paraId="6916B59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Bright, M., &amp; Bulgheresi, S. (2010). A complex journey: Transmission of microbial symbionts. </w:t>
      </w:r>
      <w:r w:rsidRPr="00146C93">
        <w:rPr>
          <w:rFonts w:ascii="Times New Roman" w:hAnsi="Times New Roman" w:cs="Times New Roman"/>
          <w:i/>
          <w:iCs/>
        </w:rPr>
        <w:t>Nature Reviews. Microbiology</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(3), 218–230. https://doi.org/10.1038/nrmicro2262</w:t>
      </w:r>
    </w:p>
    <w:p w14:paraId="274102D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Bruce, R. C. (2008). Intraguild Interactions and Population Regulation in Plethodontid Salamanders. </w:t>
      </w:r>
      <w:r w:rsidRPr="00146C93">
        <w:rPr>
          <w:rFonts w:ascii="Times New Roman" w:hAnsi="Times New Roman" w:cs="Times New Roman"/>
          <w:i/>
          <w:iCs/>
        </w:rPr>
        <w:t>Herpetological Monographs</w:t>
      </w:r>
      <w:r w:rsidRPr="00146C93">
        <w:rPr>
          <w:rFonts w:ascii="Times New Roman" w:hAnsi="Times New Roman" w:cs="Times New Roman"/>
        </w:rPr>
        <w:t xml:space="preserve">, </w:t>
      </w:r>
      <w:r w:rsidRPr="00146C93">
        <w:rPr>
          <w:rFonts w:ascii="Times New Roman" w:hAnsi="Times New Roman" w:cs="Times New Roman"/>
          <w:i/>
          <w:iCs/>
        </w:rPr>
        <w:t>22</w:t>
      </w:r>
      <w:r w:rsidRPr="00146C93">
        <w:rPr>
          <w:rFonts w:ascii="Times New Roman" w:hAnsi="Times New Roman" w:cs="Times New Roman"/>
        </w:rPr>
        <w:t>, 31–53.</w:t>
      </w:r>
    </w:p>
    <w:p w14:paraId="04162F8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Brunetti, A. E., Bunk, B., Lyra, M. L., Fuzo, C. A., Marani, M. M., Spröer, C., Haddad, C. F. B., Lopes, N. P., &amp; Overmann, J. (2022). Molecular basis of a bacterial-amphibian symbiosis revealed by comparative genomics, modeling, and functional testing.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16</w:t>
      </w:r>
      <w:r w:rsidRPr="00146C93">
        <w:rPr>
          <w:rFonts w:ascii="Times New Roman" w:hAnsi="Times New Roman" w:cs="Times New Roman"/>
        </w:rPr>
        <w:t>(3), Article 3. https://doi.org/10.1038/s41396-021-01121-7</w:t>
      </w:r>
    </w:p>
    <w:p w14:paraId="6228E29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Brunetti, A. E., Lyra, M. L., Bauermeister, A., Bunk, B., Boedeker, C., Müsken, M., Neto, F. C., Mendonça, J. N., Caraballo-Rodríguez, A. M., Melo, W. G. P., Pupo, M. T., Haddad, C. F. B., Cabrera, G. M., Overmann, J., &amp; Lopes, N. P. (2023). Host macrocyclic acylcarnitines mediate symbiotic interactions between frogs and their skin microbiome. </w:t>
      </w:r>
      <w:r w:rsidRPr="00146C93">
        <w:rPr>
          <w:rFonts w:ascii="Times New Roman" w:hAnsi="Times New Roman" w:cs="Times New Roman"/>
          <w:i/>
          <w:iCs/>
        </w:rPr>
        <w:t>iScience</w:t>
      </w:r>
      <w:r w:rsidRPr="00146C93">
        <w:rPr>
          <w:rFonts w:ascii="Times New Roman" w:hAnsi="Times New Roman" w:cs="Times New Roman"/>
        </w:rPr>
        <w:t xml:space="preserve">, </w:t>
      </w:r>
      <w:r w:rsidRPr="00146C93">
        <w:rPr>
          <w:rFonts w:ascii="Times New Roman" w:hAnsi="Times New Roman" w:cs="Times New Roman"/>
          <w:i/>
          <w:iCs/>
        </w:rPr>
        <w:t>26</w:t>
      </w:r>
      <w:r w:rsidRPr="00146C93">
        <w:rPr>
          <w:rFonts w:ascii="Times New Roman" w:hAnsi="Times New Roman" w:cs="Times New Roman"/>
        </w:rPr>
        <w:t>(11), 108109. https://doi.org/10.1016/j.isci.2023.108109</w:t>
      </w:r>
    </w:p>
    <w:p w14:paraId="558AAC2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Brunetti, A. E., Lyra, M. L., Melo, W. G. P., Andrade, L. E., Palacios-Rodríguez, P., Prado, B. M., Haddad, C. F. B., Pupo, M. T., &amp; Lopes, N. P. (2019). Symbiotic skin bacteria as a </w:t>
      </w:r>
      <w:r w:rsidRPr="00146C93">
        <w:rPr>
          <w:rFonts w:ascii="Times New Roman" w:hAnsi="Times New Roman" w:cs="Times New Roman"/>
        </w:rPr>
        <w:lastRenderedPageBreak/>
        <w:t xml:space="preserve">source for sex-specific scents in frogs.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116</w:t>
      </w:r>
      <w:r w:rsidRPr="00146C93">
        <w:rPr>
          <w:rFonts w:ascii="Times New Roman" w:hAnsi="Times New Roman" w:cs="Times New Roman"/>
        </w:rPr>
        <w:t>(6), 2124–2129. https://doi.org/10.1073/pnas.1806834116</w:t>
      </w:r>
    </w:p>
    <w:p w14:paraId="43FC1FF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Burke, C., Steinberg, P., Rusch, D., Kjelleberg, S., &amp; Thomas, T. (2011). Bacterial community assembly based on functional genes rather than species.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108</w:t>
      </w:r>
      <w:r w:rsidRPr="00146C93">
        <w:rPr>
          <w:rFonts w:ascii="Times New Roman" w:hAnsi="Times New Roman" w:cs="Times New Roman"/>
        </w:rPr>
        <w:t>(34), 14288–14293. https://doi.org/10.1073/pnas.1101591108</w:t>
      </w:r>
    </w:p>
    <w:p w14:paraId="3A6292C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Callahan, B. J., McMurdie, P. J., Rosen, M. J., Han, A. W., Johnson, A. J. A., &amp; Holmes, S. P. (2016). DADA2: High-resolution sample inference from Illumina amplicon data. </w:t>
      </w:r>
      <w:r w:rsidRPr="00146C93">
        <w:rPr>
          <w:rFonts w:ascii="Times New Roman" w:hAnsi="Times New Roman" w:cs="Times New Roman"/>
          <w:i/>
          <w:iCs/>
        </w:rPr>
        <w:t>Nature Methods</w:t>
      </w:r>
      <w:r w:rsidRPr="00146C93">
        <w:rPr>
          <w:rFonts w:ascii="Times New Roman" w:hAnsi="Times New Roman" w:cs="Times New Roman"/>
        </w:rPr>
        <w:t xml:space="preserve">, </w:t>
      </w:r>
      <w:r w:rsidRPr="00146C93">
        <w:rPr>
          <w:rFonts w:ascii="Times New Roman" w:hAnsi="Times New Roman" w:cs="Times New Roman"/>
          <w:i/>
          <w:iCs/>
        </w:rPr>
        <w:t>13</w:t>
      </w:r>
      <w:r w:rsidRPr="00146C93">
        <w:rPr>
          <w:rFonts w:ascii="Times New Roman" w:hAnsi="Times New Roman" w:cs="Times New Roman"/>
        </w:rPr>
        <w:t>(7), Article 7. https://doi.org/10.1038/nmeth.3869</w:t>
      </w:r>
    </w:p>
    <w:p w14:paraId="72A6C76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Camacho, C., Coulouris, G., Avagyan, V., Ma, N., Papadopoulos, J., Bealer, K., &amp; Madden, T. L. (2009). BLAST+: Architecture and applications. </w:t>
      </w:r>
      <w:r w:rsidRPr="00146C93">
        <w:rPr>
          <w:rFonts w:ascii="Times New Roman" w:hAnsi="Times New Roman" w:cs="Times New Roman"/>
          <w:i/>
          <w:iCs/>
        </w:rPr>
        <w:t>BMC Bioinformatics</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 421. https://doi.org/10.1186/1471-2105-10-421</w:t>
      </w:r>
    </w:p>
    <w:p w14:paraId="033C506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Carter, E. D., Bletz, M. C., Sage, M. L., LaBumbard, B., Rollins-Smith, L. A., Woodhams, D. C., Miller, D. L., &amp; Gray, M. J. (2021). Winter is coming–Temperature affects immune defenses and susceptibility to </w:t>
      </w:r>
      <w:r w:rsidRPr="00F45682">
        <w:rPr>
          <w:rFonts w:ascii="Times New Roman" w:hAnsi="Times New Roman" w:cs="Times New Roman"/>
          <w:i/>
          <w:iCs/>
        </w:rPr>
        <w:t>Batrachochytrium salamandrivorans.</w:t>
      </w:r>
      <w:r w:rsidRPr="00146C93">
        <w:rPr>
          <w:rFonts w:ascii="Times New Roman" w:hAnsi="Times New Roman" w:cs="Times New Roman"/>
        </w:rPr>
        <w:t xml:space="preserve"> </w:t>
      </w:r>
      <w:r w:rsidRPr="00146C93">
        <w:rPr>
          <w:rFonts w:ascii="Times New Roman" w:hAnsi="Times New Roman" w:cs="Times New Roman"/>
          <w:i/>
          <w:iCs/>
        </w:rPr>
        <w:t>PLOS Pathogens</w:t>
      </w:r>
      <w:r w:rsidRPr="00146C93">
        <w:rPr>
          <w:rFonts w:ascii="Times New Roman" w:hAnsi="Times New Roman" w:cs="Times New Roman"/>
        </w:rPr>
        <w:t xml:space="preserve">, </w:t>
      </w:r>
      <w:r w:rsidRPr="00146C93">
        <w:rPr>
          <w:rFonts w:ascii="Times New Roman" w:hAnsi="Times New Roman" w:cs="Times New Roman"/>
          <w:i/>
          <w:iCs/>
        </w:rPr>
        <w:t>17</w:t>
      </w:r>
      <w:r w:rsidRPr="00146C93">
        <w:rPr>
          <w:rFonts w:ascii="Times New Roman" w:hAnsi="Times New Roman" w:cs="Times New Roman"/>
        </w:rPr>
        <w:t>(2), e1009234. https://doi.org/10.1371/journal.ppat.1009234</w:t>
      </w:r>
    </w:p>
    <w:p w14:paraId="3BE42EE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Carter, E. D., Miller, D. L., Peterson, A. C., Sutton, W. B., Cusaac, J. P. W., Spatz, J. A., Rollins-Smith, L., Reinert, L., Bohanon, M., Williams, L. A., Upchurch, A., &amp; Gray, M. J. (2020). Conservation risk of </w:t>
      </w:r>
      <w:r w:rsidRPr="00F45682">
        <w:rPr>
          <w:rFonts w:ascii="Times New Roman" w:hAnsi="Times New Roman" w:cs="Times New Roman"/>
          <w:i/>
          <w:iCs/>
        </w:rPr>
        <w:t>Batrachochytrium salamandrivorans</w:t>
      </w:r>
      <w:r w:rsidRPr="00146C93">
        <w:rPr>
          <w:rFonts w:ascii="Times New Roman" w:hAnsi="Times New Roman" w:cs="Times New Roman"/>
        </w:rPr>
        <w:t xml:space="preserve"> to endemic lungless salamanders. </w:t>
      </w:r>
      <w:r w:rsidRPr="00146C93">
        <w:rPr>
          <w:rFonts w:ascii="Times New Roman" w:hAnsi="Times New Roman" w:cs="Times New Roman"/>
          <w:i/>
          <w:iCs/>
        </w:rPr>
        <w:t>Conservation Letters</w:t>
      </w:r>
      <w:r w:rsidRPr="00146C93">
        <w:rPr>
          <w:rFonts w:ascii="Times New Roman" w:hAnsi="Times New Roman" w:cs="Times New Roman"/>
        </w:rPr>
        <w:t xml:space="preserve">, </w:t>
      </w:r>
      <w:r w:rsidRPr="00146C93">
        <w:rPr>
          <w:rFonts w:ascii="Times New Roman" w:hAnsi="Times New Roman" w:cs="Times New Roman"/>
          <w:i/>
          <w:iCs/>
        </w:rPr>
        <w:t>13</w:t>
      </w:r>
      <w:r w:rsidRPr="00146C93">
        <w:rPr>
          <w:rFonts w:ascii="Times New Roman" w:hAnsi="Times New Roman" w:cs="Times New Roman"/>
        </w:rPr>
        <w:t>(1), e12675. https://doi.org/10.1111/conl.12675</w:t>
      </w:r>
    </w:p>
    <w:p w14:paraId="3BE7CDA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Chao, A., Chiu, C.-H., &amp; Jost, L. (2016). Phylogenetic Diversity Measures and Their Decomposition: A Framework Based on Hill Numbers. In R. Pellens &amp; P. Grandcolas (Eds.), </w:t>
      </w:r>
      <w:r w:rsidRPr="00146C93">
        <w:rPr>
          <w:rFonts w:ascii="Times New Roman" w:hAnsi="Times New Roman" w:cs="Times New Roman"/>
          <w:i/>
          <w:iCs/>
        </w:rPr>
        <w:t>Biodiversity Conservation and Phylogenetic Systematics: Preserving our evolutionary heritage in an extinction crisis</w:t>
      </w:r>
      <w:r w:rsidRPr="00146C93">
        <w:rPr>
          <w:rFonts w:ascii="Times New Roman" w:hAnsi="Times New Roman" w:cs="Times New Roman"/>
        </w:rPr>
        <w:t xml:space="preserve"> (pp. 141–172). Springer International Publishing. https://doi.org/10.1007/978-3-319-22461-9_8</w:t>
      </w:r>
    </w:p>
    <w:p w14:paraId="46C85A1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Chao, A., &amp; Ricotta, C. (2019). Quantifying evenness and linking it to diversity, beta diversity, and similarity. </w:t>
      </w:r>
      <w:r w:rsidRPr="00146C93">
        <w:rPr>
          <w:rFonts w:ascii="Times New Roman" w:hAnsi="Times New Roman" w:cs="Times New Roman"/>
          <w:i/>
          <w:iCs/>
        </w:rPr>
        <w:t>Ecology</w:t>
      </w:r>
      <w:r w:rsidRPr="00146C93">
        <w:rPr>
          <w:rFonts w:ascii="Times New Roman" w:hAnsi="Times New Roman" w:cs="Times New Roman"/>
        </w:rPr>
        <w:t xml:space="preserve">, </w:t>
      </w:r>
      <w:r w:rsidRPr="00146C93">
        <w:rPr>
          <w:rFonts w:ascii="Times New Roman" w:hAnsi="Times New Roman" w:cs="Times New Roman"/>
          <w:i/>
          <w:iCs/>
        </w:rPr>
        <w:t>100</w:t>
      </w:r>
      <w:r w:rsidRPr="00146C93">
        <w:rPr>
          <w:rFonts w:ascii="Times New Roman" w:hAnsi="Times New Roman" w:cs="Times New Roman"/>
        </w:rPr>
        <w:t>(12). https://doi.org/10.1002/ecy.2852</w:t>
      </w:r>
    </w:p>
    <w:p w14:paraId="0F347AC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Charney, N., &amp; Record, S. (2012). </w:t>
      </w:r>
      <w:r w:rsidRPr="00146C93">
        <w:rPr>
          <w:rFonts w:ascii="Times New Roman" w:hAnsi="Times New Roman" w:cs="Times New Roman"/>
          <w:i/>
          <w:iCs/>
        </w:rPr>
        <w:t>vegetarian: Jost Diversity Measures for Community</w:t>
      </w:r>
      <w:r w:rsidRPr="00146C93">
        <w:rPr>
          <w:rFonts w:ascii="Times New Roman" w:hAnsi="Times New Roman" w:cs="Times New Roman"/>
        </w:rPr>
        <w:t xml:space="preserve"> (R package version 1.2) [Computer software]. https://CRAN.R-project.org/package=vegetarian</w:t>
      </w:r>
    </w:p>
    <w:p w14:paraId="6B56B8A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Chase, J. M., Kraft, N. J. B., Smith, K. G., Vellend, M., &amp; Inouye, B. D. (2011). Using null models to disentangle variation in community dissimilarity from variation in α-diversity. </w:t>
      </w:r>
      <w:r w:rsidRPr="00146C93">
        <w:rPr>
          <w:rFonts w:ascii="Times New Roman" w:hAnsi="Times New Roman" w:cs="Times New Roman"/>
          <w:i/>
          <w:iCs/>
        </w:rPr>
        <w:t>Ecosphere</w:t>
      </w:r>
      <w:r w:rsidRPr="00146C93">
        <w:rPr>
          <w:rFonts w:ascii="Times New Roman" w:hAnsi="Times New Roman" w:cs="Times New Roman"/>
        </w:rPr>
        <w:t xml:space="preserve">, </w:t>
      </w:r>
      <w:r w:rsidRPr="00146C93">
        <w:rPr>
          <w:rFonts w:ascii="Times New Roman" w:hAnsi="Times New Roman" w:cs="Times New Roman"/>
          <w:i/>
          <w:iCs/>
        </w:rPr>
        <w:t>2</w:t>
      </w:r>
      <w:r w:rsidRPr="00146C93">
        <w:rPr>
          <w:rFonts w:ascii="Times New Roman" w:hAnsi="Times New Roman" w:cs="Times New Roman"/>
        </w:rPr>
        <w:t>(2), art24. https://doi.org/10.1890/ES10-00117.1</w:t>
      </w:r>
    </w:p>
    <w:p w14:paraId="78F787E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Chen, T., Farragher, S., Bjourson, A. J., Orr, D. F., Rao, P., &amp; Shaw, C. (2003). Granular gland transcriptomes in stimulated amphibian skin secretions. </w:t>
      </w:r>
      <w:r w:rsidRPr="00146C93">
        <w:rPr>
          <w:rFonts w:ascii="Times New Roman" w:hAnsi="Times New Roman" w:cs="Times New Roman"/>
          <w:i/>
          <w:iCs/>
        </w:rPr>
        <w:t>Biochemical Journal</w:t>
      </w:r>
      <w:r w:rsidRPr="00146C93">
        <w:rPr>
          <w:rFonts w:ascii="Times New Roman" w:hAnsi="Times New Roman" w:cs="Times New Roman"/>
        </w:rPr>
        <w:t xml:space="preserve">, </w:t>
      </w:r>
      <w:r w:rsidRPr="00146C93">
        <w:rPr>
          <w:rFonts w:ascii="Times New Roman" w:hAnsi="Times New Roman" w:cs="Times New Roman"/>
          <w:i/>
          <w:iCs/>
        </w:rPr>
        <w:t>371</w:t>
      </w:r>
      <w:r w:rsidRPr="00146C93">
        <w:rPr>
          <w:rFonts w:ascii="Times New Roman" w:hAnsi="Times New Roman" w:cs="Times New Roman"/>
        </w:rPr>
        <w:t>(Pt 1), 125–130. https://doi.org/10.1042/BJ20021343</w:t>
      </w:r>
    </w:p>
    <w:p w14:paraId="4B25BF00" w14:textId="77777777" w:rsidR="00A961B9" w:rsidRPr="00CC2819" w:rsidRDefault="00A961B9" w:rsidP="00A961B9">
      <w:pPr>
        <w:ind w:left="720" w:hanging="720"/>
        <w:rPr>
          <w:i/>
          <w:iCs/>
        </w:rPr>
      </w:pPr>
      <w:r w:rsidRPr="00146C93">
        <w:rPr>
          <w:rFonts w:ascii="Times New Roman" w:hAnsi="Times New Roman" w:cs="Times New Roman"/>
        </w:rPr>
        <w:t xml:space="preserve">Chinnadurai, S. K., Cooper, D., Dombrowski, D. S., Poore, M. F., &amp; Levy, M. G. (2009). </w:t>
      </w:r>
      <w:r>
        <w:rPr>
          <w:rFonts w:ascii="Times New Roman" w:hAnsi="Times New Roman" w:cs="Times New Roman"/>
        </w:rPr>
        <w:t xml:space="preserve">Experimental infection of native North Carolina salamander with </w:t>
      </w:r>
      <w:r>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Journal of Wildlife Diseases</w:t>
      </w:r>
      <w:r w:rsidRPr="00146C93">
        <w:rPr>
          <w:rFonts w:ascii="Times New Roman" w:hAnsi="Times New Roman" w:cs="Times New Roman"/>
        </w:rPr>
        <w:t xml:space="preserve">, </w:t>
      </w:r>
      <w:r w:rsidRPr="00146C93">
        <w:rPr>
          <w:rFonts w:ascii="Times New Roman" w:hAnsi="Times New Roman" w:cs="Times New Roman"/>
          <w:i/>
          <w:iCs/>
        </w:rPr>
        <w:t>45</w:t>
      </w:r>
      <w:r w:rsidRPr="00146C93">
        <w:rPr>
          <w:rFonts w:ascii="Times New Roman" w:hAnsi="Times New Roman" w:cs="Times New Roman"/>
        </w:rPr>
        <w:t>(3), 631–636. https://doi.org/10.7589/0090-3558-45.3.631</w:t>
      </w:r>
    </w:p>
    <w:p w14:paraId="021D364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Chiu, C.-H., &amp; Chao, A. (2014). Distance-Based Functional Diversity Measures and Their Decomposition: A Framework Based on Hill Numbers.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(7), e100014. https://doi.org/10.1371/journal.pone.0100014</w:t>
      </w:r>
    </w:p>
    <w:p w14:paraId="35B6E12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Collins, J. (2010). Amphibian decline and extinction: What we know and what we need to learn. </w:t>
      </w:r>
      <w:r w:rsidRPr="00146C93">
        <w:rPr>
          <w:rFonts w:ascii="Times New Roman" w:hAnsi="Times New Roman" w:cs="Times New Roman"/>
          <w:i/>
          <w:iCs/>
        </w:rPr>
        <w:t>Diseases of Aquatic Organisms</w:t>
      </w:r>
      <w:r w:rsidRPr="00146C93">
        <w:rPr>
          <w:rFonts w:ascii="Times New Roman" w:hAnsi="Times New Roman" w:cs="Times New Roman"/>
        </w:rPr>
        <w:t xml:space="preserve">, </w:t>
      </w:r>
      <w:r w:rsidRPr="00146C93">
        <w:rPr>
          <w:rFonts w:ascii="Times New Roman" w:hAnsi="Times New Roman" w:cs="Times New Roman"/>
          <w:i/>
          <w:iCs/>
        </w:rPr>
        <w:t>92</w:t>
      </w:r>
      <w:r w:rsidRPr="00146C93">
        <w:rPr>
          <w:rFonts w:ascii="Times New Roman" w:hAnsi="Times New Roman" w:cs="Times New Roman"/>
        </w:rPr>
        <w:t>(3), 93–99. https://doi.org/10.3354/dao02307</w:t>
      </w:r>
    </w:p>
    <w:p w14:paraId="43E8A64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Colombo, B. M., Scalvenzi, T., Benlamara, S., &amp; Pollet, N. (2015). Microbiota and Mucosal Immunity in Amphibians. </w:t>
      </w:r>
      <w:r w:rsidRPr="00146C93">
        <w:rPr>
          <w:rFonts w:ascii="Times New Roman" w:hAnsi="Times New Roman" w:cs="Times New Roman"/>
          <w:i/>
          <w:iCs/>
        </w:rPr>
        <w:t>Frontiers in Immunology</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 https://doi.org/10.3389/fimmu.2015.00111</w:t>
      </w:r>
    </w:p>
    <w:p w14:paraId="4F40E8F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Conlon, J. M. (2011). Structural diversity and species distribution of host-defense peptides in frog skin secretions. </w:t>
      </w:r>
      <w:r w:rsidRPr="00146C93">
        <w:rPr>
          <w:rFonts w:ascii="Times New Roman" w:hAnsi="Times New Roman" w:cs="Times New Roman"/>
          <w:i/>
          <w:iCs/>
        </w:rPr>
        <w:t>Cellular and Molecular Life Sciences</w:t>
      </w:r>
      <w:r w:rsidRPr="00146C93">
        <w:rPr>
          <w:rFonts w:ascii="Times New Roman" w:hAnsi="Times New Roman" w:cs="Times New Roman"/>
        </w:rPr>
        <w:t xml:space="preserve">, </w:t>
      </w:r>
      <w:r w:rsidRPr="00146C93">
        <w:rPr>
          <w:rFonts w:ascii="Times New Roman" w:hAnsi="Times New Roman" w:cs="Times New Roman"/>
          <w:i/>
          <w:iCs/>
        </w:rPr>
        <w:t>68</w:t>
      </w:r>
      <w:r w:rsidRPr="00146C93">
        <w:rPr>
          <w:rFonts w:ascii="Times New Roman" w:hAnsi="Times New Roman" w:cs="Times New Roman"/>
        </w:rPr>
        <w:t>(13), 2303–2315. https://doi.org/10.1007/s00018-011-0720-8</w:t>
      </w:r>
    </w:p>
    <w:p w14:paraId="0835EB0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Costa, S., Lopes, I., Proença, D. N., Ribeiro, R., &amp; Morais, P. V. (2016). Diversity of cutaneous microbiome of Pelophylax perezi populations inhabiting different environments. </w:t>
      </w:r>
      <w:r w:rsidRPr="00146C93">
        <w:rPr>
          <w:rFonts w:ascii="Times New Roman" w:hAnsi="Times New Roman" w:cs="Times New Roman"/>
          <w:i/>
          <w:iCs/>
        </w:rPr>
        <w:t>Science of The Total Environment</w:t>
      </w:r>
      <w:r w:rsidRPr="00146C93">
        <w:rPr>
          <w:rFonts w:ascii="Times New Roman" w:hAnsi="Times New Roman" w:cs="Times New Roman"/>
        </w:rPr>
        <w:t xml:space="preserve">, </w:t>
      </w:r>
      <w:r w:rsidRPr="00146C93">
        <w:rPr>
          <w:rFonts w:ascii="Times New Roman" w:hAnsi="Times New Roman" w:cs="Times New Roman"/>
          <w:i/>
          <w:iCs/>
        </w:rPr>
        <w:t>572</w:t>
      </w:r>
      <w:r w:rsidRPr="00146C93">
        <w:rPr>
          <w:rFonts w:ascii="Times New Roman" w:hAnsi="Times New Roman" w:cs="Times New Roman"/>
        </w:rPr>
        <w:t>, 995–1004. https://doi.org/10.1016/j.scitotenv.2016.07.230</w:t>
      </w:r>
    </w:p>
    <w:p w14:paraId="178728B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Coyte, K. Z., &amp; Rakoff-Nahoum, S. (2019). Understanding Competition and Cooperation within the Mammalian Gut Microbiome. </w:t>
      </w:r>
      <w:r w:rsidRPr="00146C93">
        <w:rPr>
          <w:rFonts w:ascii="Times New Roman" w:hAnsi="Times New Roman" w:cs="Times New Roman"/>
          <w:i/>
          <w:iCs/>
        </w:rPr>
        <w:t>Current Biology: CB</w:t>
      </w:r>
      <w:r w:rsidRPr="00146C93">
        <w:rPr>
          <w:rFonts w:ascii="Times New Roman" w:hAnsi="Times New Roman" w:cs="Times New Roman"/>
        </w:rPr>
        <w:t xml:space="preserve">, </w:t>
      </w:r>
      <w:r w:rsidRPr="00146C93">
        <w:rPr>
          <w:rFonts w:ascii="Times New Roman" w:hAnsi="Times New Roman" w:cs="Times New Roman"/>
          <w:i/>
          <w:iCs/>
        </w:rPr>
        <w:t>29</w:t>
      </w:r>
      <w:r w:rsidRPr="00146C93">
        <w:rPr>
          <w:rFonts w:ascii="Times New Roman" w:hAnsi="Times New Roman" w:cs="Times New Roman"/>
        </w:rPr>
        <w:t>(11), R538–R544. https://doi.org/10.1016/j.cub.2019.04.017</w:t>
      </w:r>
    </w:p>
    <w:p w14:paraId="3731C9E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Crawford, J. A., &amp; Semlitsch, R. D. (2007). Estimation of core terrestrial habitat for stream-breeding salamanders and delineation of riparian buffers for protection of biodiversity. </w:t>
      </w:r>
      <w:r w:rsidRPr="00146C93">
        <w:rPr>
          <w:rFonts w:ascii="Times New Roman" w:hAnsi="Times New Roman" w:cs="Times New Roman"/>
          <w:i/>
          <w:iCs/>
        </w:rPr>
        <w:t>Conservation Biology: The Journal of the Society for Conservation Biology</w:t>
      </w:r>
      <w:r w:rsidRPr="00146C93">
        <w:rPr>
          <w:rFonts w:ascii="Times New Roman" w:hAnsi="Times New Roman" w:cs="Times New Roman"/>
        </w:rPr>
        <w:t xml:space="preserve">, </w:t>
      </w:r>
      <w:r w:rsidRPr="00146C93">
        <w:rPr>
          <w:rFonts w:ascii="Times New Roman" w:hAnsi="Times New Roman" w:cs="Times New Roman"/>
          <w:i/>
          <w:iCs/>
        </w:rPr>
        <w:t>21</w:t>
      </w:r>
      <w:r w:rsidRPr="00146C93">
        <w:rPr>
          <w:rFonts w:ascii="Times New Roman" w:hAnsi="Times New Roman" w:cs="Times New Roman"/>
        </w:rPr>
        <w:t>(1), 152–158. https://doi.org/10.1111/j.1523-1739.2006.00556.x</w:t>
      </w:r>
    </w:p>
    <w:p w14:paraId="0C1B591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Davic, R. (1983). </w:t>
      </w:r>
      <w:r w:rsidRPr="00146C93">
        <w:rPr>
          <w:rFonts w:ascii="Times New Roman" w:hAnsi="Times New Roman" w:cs="Times New Roman"/>
          <w:i/>
          <w:iCs/>
        </w:rPr>
        <w:t>An investigation of salamander guild predation in a North Carolina steam: An experimental approach</w:t>
      </w:r>
      <w:r w:rsidRPr="00146C93">
        <w:rPr>
          <w:rFonts w:ascii="Times New Roman" w:hAnsi="Times New Roman" w:cs="Times New Roman"/>
        </w:rPr>
        <w:t xml:space="preserve"> [Unpublished PhD dissertation]. Kent State University.</w:t>
      </w:r>
    </w:p>
    <w:p w14:paraId="1035ADB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Davic, R., &amp; Welsh, H. (2004). On the ecological role of salamanders. Annu Rev Ecol Syst. </w:t>
      </w:r>
      <w:r w:rsidRPr="00146C93">
        <w:rPr>
          <w:rFonts w:ascii="Times New Roman" w:hAnsi="Times New Roman" w:cs="Times New Roman"/>
          <w:i/>
          <w:iCs/>
        </w:rPr>
        <w:t>Annu. Rev. Ecol. Evol. Syst</w:t>
      </w:r>
      <w:r w:rsidRPr="00146C93">
        <w:rPr>
          <w:rFonts w:ascii="Times New Roman" w:hAnsi="Times New Roman" w:cs="Times New Roman"/>
        </w:rPr>
        <w:t xml:space="preserve">, </w:t>
      </w:r>
      <w:r w:rsidRPr="00146C93">
        <w:rPr>
          <w:rFonts w:ascii="Times New Roman" w:hAnsi="Times New Roman" w:cs="Times New Roman"/>
          <w:i/>
          <w:iCs/>
        </w:rPr>
        <w:t>12</w:t>
      </w:r>
      <w:r w:rsidRPr="00146C93">
        <w:rPr>
          <w:rFonts w:ascii="Times New Roman" w:hAnsi="Times New Roman" w:cs="Times New Roman"/>
        </w:rPr>
        <w:t>, 405–434. https://doi.org/10.1146/annurev.ecolsys.35.112202.130116</w:t>
      </w:r>
    </w:p>
    <w:p w14:paraId="7655D73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Davies, C. S., Worsley, S. F., Maher, K. H., Komdeur, J., Burke, T., Dugdale, H. L., &amp; Richardson, D. S. (2022). Immunogenetic variation shapes the gut microbiome in a natural vertebrate population. </w:t>
      </w:r>
      <w:r w:rsidRPr="00146C93">
        <w:rPr>
          <w:rFonts w:ascii="Times New Roman" w:hAnsi="Times New Roman" w:cs="Times New Roman"/>
          <w:i/>
          <w:iCs/>
        </w:rPr>
        <w:t>Microbiome</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(1), 41. https://doi.org/10.1186/s40168-022-01233-y</w:t>
      </w:r>
    </w:p>
    <w:p w14:paraId="562F1AD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Davis, N. M., Proctor, D. M., Holmes, S. P., Relman, D. A., &amp; Callahan, B. J. (2018). Simple statistical identification and removal of contaminant sequences in marker-gene and metagenomics data. </w:t>
      </w:r>
      <w:r w:rsidRPr="00146C93">
        <w:rPr>
          <w:rFonts w:ascii="Times New Roman" w:hAnsi="Times New Roman" w:cs="Times New Roman"/>
          <w:i/>
          <w:iCs/>
        </w:rPr>
        <w:t>Microbiome</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(1), 226. https://doi.org/10.1186/s40168-018-0605-2</w:t>
      </w:r>
    </w:p>
    <w:p w14:paraId="6826C37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de Bello, F., Lavorel, S., Hallett, L. M., Valencia, E., Garnier, E., Roscher, C., Conti, L., Galland, T., Goberna, M., Májeková, M., Montesinos-Navarro, A., Pausas, J. G., Verdú, M., E-Vojtkó, A., Götzenberger, L., &amp; Lepš, J. (2021). Functional trait effects on ecosystem stability: Assembling the jigsaw puzzle. </w:t>
      </w:r>
      <w:r w:rsidRPr="00146C93">
        <w:rPr>
          <w:rFonts w:ascii="Times New Roman" w:hAnsi="Times New Roman" w:cs="Times New Roman"/>
          <w:i/>
          <w:iCs/>
        </w:rPr>
        <w:t>Trends in Ecology &amp; Evolution</w:t>
      </w:r>
      <w:r w:rsidRPr="00146C93">
        <w:rPr>
          <w:rFonts w:ascii="Times New Roman" w:hAnsi="Times New Roman" w:cs="Times New Roman"/>
        </w:rPr>
        <w:t xml:space="preserve">, </w:t>
      </w:r>
      <w:r w:rsidRPr="00146C93">
        <w:rPr>
          <w:rFonts w:ascii="Times New Roman" w:hAnsi="Times New Roman" w:cs="Times New Roman"/>
          <w:i/>
          <w:iCs/>
        </w:rPr>
        <w:t>36</w:t>
      </w:r>
      <w:r w:rsidRPr="00146C93">
        <w:rPr>
          <w:rFonts w:ascii="Times New Roman" w:hAnsi="Times New Roman" w:cs="Times New Roman"/>
        </w:rPr>
        <w:t>(9), 822–836. https://doi.org/10.1016/j.tree.2021.05.001</w:t>
      </w:r>
    </w:p>
    <w:p w14:paraId="3224852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De Cáceres, M., Legendre, P., &amp; Moretti, M. (2010). Improving indicator species analysis by combining groups of sites. </w:t>
      </w:r>
      <w:r w:rsidRPr="00146C93">
        <w:rPr>
          <w:rFonts w:ascii="Times New Roman" w:hAnsi="Times New Roman" w:cs="Times New Roman"/>
          <w:i/>
          <w:iCs/>
        </w:rPr>
        <w:t>Oikos</w:t>
      </w:r>
      <w:r w:rsidRPr="00146C93">
        <w:rPr>
          <w:rFonts w:ascii="Times New Roman" w:hAnsi="Times New Roman" w:cs="Times New Roman"/>
        </w:rPr>
        <w:t xml:space="preserve">, </w:t>
      </w:r>
      <w:r w:rsidRPr="00146C93">
        <w:rPr>
          <w:rFonts w:ascii="Times New Roman" w:hAnsi="Times New Roman" w:cs="Times New Roman"/>
          <w:i/>
          <w:iCs/>
        </w:rPr>
        <w:t>119</w:t>
      </w:r>
      <w:r w:rsidRPr="00146C93">
        <w:rPr>
          <w:rFonts w:ascii="Times New Roman" w:hAnsi="Times New Roman" w:cs="Times New Roman"/>
        </w:rPr>
        <w:t>(10), 1674–1684.</w:t>
      </w:r>
    </w:p>
    <w:p w14:paraId="3E148DA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Debray, R., Herbert, R. A., Jaffe, A. L., Crits-Christoph, A., Power, M. E., &amp; Koskella, B. (2022). Priority effects in microbiome assembly. </w:t>
      </w:r>
      <w:r w:rsidRPr="00146C93">
        <w:rPr>
          <w:rFonts w:ascii="Times New Roman" w:hAnsi="Times New Roman" w:cs="Times New Roman"/>
          <w:i/>
          <w:iCs/>
        </w:rPr>
        <w:t>Nature Reviews Microbiology</w:t>
      </w:r>
      <w:r w:rsidRPr="00146C93">
        <w:rPr>
          <w:rFonts w:ascii="Times New Roman" w:hAnsi="Times New Roman" w:cs="Times New Roman"/>
        </w:rPr>
        <w:t xml:space="preserve">, </w:t>
      </w:r>
      <w:r w:rsidRPr="00146C93">
        <w:rPr>
          <w:rFonts w:ascii="Times New Roman" w:hAnsi="Times New Roman" w:cs="Times New Roman"/>
          <w:i/>
          <w:iCs/>
        </w:rPr>
        <w:t>20</w:t>
      </w:r>
      <w:r w:rsidRPr="00146C93">
        <w:rPr>
          <w:rFonts w:ascii="Times New Roman" w:hAnsi="Times New Roman" w:cs="Times New Roman"/>
        </w:rPr>
        <w:t>(2), 109–121. https://doi.org/10.1038/s41579-021-00604-w</w:t>
      </w:r>
    </w:p>
    <w:p w14:paraId="358BBFE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Deveau, A., Bonito, G., Uehling, J., Paoletti, M., Becker, M., Bindschedler, S., Hacquard, S., Hervé, V., Labbé, J., Lastovetsky, O. A., Mieszkin, S., Millet, L. J., Vajna, B., Junier, P., Bonfante, P., Krom, B. P., Olsson, S., van Elsas, J. D., &amp; Wick, L. Y. (2018). Bacterial–fungal interactions: Ecology, mechanisms and challenges. </w:t>
      </w:r>
      <w:r w:rsidRPr="00146C93">
        <w:rPr>
          <w:rFonts w:ascii="Times New Roman" w:hAnsi="Times New Roman" w:cs="Times New Roman"/>
          <w:i/>
          <w:iCs/>
        </w:rPr>
        <w:t>FEMS Microbiology Reviews</w:t>
      </w:r>
      <w:r w:rsidRPr="00146C93">
        <w:rPr>
          <w:rFonts w:ascii="Times New Roman" w:hAnsi="Times New Roman" w:cs="Times New Roman"/>
        </w:rPr>
        <w:t xml:space="preserve">, </w:t>
      </w:r>
      <w:r w:rsidRPr="00146C93">
        <w:rPr>
          <w:rFonts w:ascii="Times New Roman" w:hAnsi="Times New Roman" w:cs="Times New Roman"/>
          <w:i/>
          <w:iCs/>
        </w:rPr>
        <w:t>42</w:t>
      </w:r>
      <w:r w:rsidRPr="00146C93">
        <w:rPr>
          <w:rFonts w:ascii="Times New Roman" w:hAnsi="Times New Roman" w:cs="Times New Roman"/>
        </w:rPr>
        <w:t>(3), 335–352. https://doi.org/10.1093/femsre/fuy008</w:t>
      </w:r>
    </w:p>
    <w:p w14:paraId="4D4EA2A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Di Cecco, G. J., Snell Taylor, S. J., White, E. P., &amp; Hurlbert, A. H. (2022). More individuals or specialized niches? Distinguishing support for hypotheses explaining positive species–energy relationships. </w:t>
      </w:r>
      <w:r w:rsidRPr="00146C93">
        <w:rPr>
          <w:rFonts w:ascii="Times New Roman" w:hAnsi="Times New Roman" w:cs="Times New Roman"/>
          <w:i/>
          <w:iCs/>
        </w:rPr>
        <w:t>Journal of Biogeography</w:t>
      </w:r>
      <w:r w:rsidRPr="00146C93">
        <w:rPr>
          <w:rFonts w:ascii="Times New Roman" w:hAnsi="Times New Roman" w:cs="Times New Roman"/>
        </w:rPr>
        <w:t xml:space="preserve">, </w:t>
      </w:r>
      <w:r w:rsidRPr="00146C93">
        <w:rPr>
          <w:rFonts w:ascii="Times New Roman" w:hAnsi="Times New Roman" w:cs="Times New Roman"/>
          <w:i/>
          <w:iCs/>
        </w:rPr>
        <w:t>49</w:t>
      </w:r>
      <w:r w:rsidRPr="00146C93">
        <w:rPr>
          <w:rFonts w:ascii="Times New Roman" w:hAnsi="Times New Roman" w:cs="Times New Roman"/>
        </w:rPr>
        <w:t>(9), 1629–1639. https://doi.org/10.1111/jbi.14459</w:t>
      </w:r>
    </w:p>
    <w:p w14:paraId="5CC33D1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DiRenzo, G. V., Link to external site,  this link will open in a new window, Longo, A. V., Muletz-Wolz, C. R., Pessier, A. P., Goodheart, J. A., &amp; Lips, K. R. (2021). Plethodontid salamanders show variable disease dynamics in response to </w:t>
      </w:r>
      <w:r w:rsidRPr="00F45682">
        <w:rPr>
          <w:rFonts w:ascii="Times New Roman" w:hAnsi="Times New Roman" w:cs="Times New Roman"/>
          <w:i/>
          <w:iCs/>
        </w:rPr>
        <w:t xml:space="preserve">Batrachochytrium salamandrivorans </w:t>
      </w:r>
      <w:r w:rsidRPr="00146C93">
        <w:rPr>
          <w:rFonts w:ascii="Times New Roman" w:hAnsi="Times New Roman" w:cs="Times New Roman"/>
        </w:rPr>
        <w:t xml:space="preserve">chytridiomycosis. </w:t>
      </w:r>
      <w:r w:rsidRPr="00146C93">
        <w:rPr>
          <w:rFonts w:ascii="Times New Roman" w:hAnsi="Times New Roman" w:cs="Times New Roman"/>
          <w:i/>
          <w:iCs/>
        </w:rPr>
        <w:t>Biological Invasions</w:t>
      </w:r>
      <w:r w:rsidRPr="00146C93">
        <w:rPr>
          <w:rFonts w:ascii="Times New Roman" w:hAnsi="Times New Roman" w:cs="Times New Roman"/>
        </w:rPr>
        <w:t xml:space="preserve">, </w:t>
      </w:r>
      <w:r w:rsidRPr="00146C93">
        <w:rPr>
          <w:rFonts w:ascii="Times New Roman" w:hAnsi="Times New Roman" w:cs="Times New Roman"/>
          <w:i/>
          <w:iCs/>
        </w:rPr>
        <w:t>23</w:t>
      </w:r>
      <w:r w:rsidRPr="00146C93">
        <w:rPr>
          <w:rFonts w:ascii="Times New Roman" w:hAnsi="Times New Roman" w:cs="Times New Roman"/>
        </w:rPr>
        <w:t>(9), 2797–2815. https://doi.org/10.1007/s10530-021-02536-1</w:t>
      </w:r>
    </w:p>
    <w:p w14:paraId="490C1D7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Douglas, A. E. (2021). </w:t>
      </w:r>
      <w:r w:rsidRPr="00146C93">
        <w:rPr>
          <w:rFonts w:ascii="Times New Roman" w:hAnsi="Times New Roman" w:cs="Times New Roman"/>
          <w:i/>
          <w:iCs/>
        </w:rPr>
        <w:t>The Symbiotic Habit</w:t>
      </w:r>
      <w:r w:rsidRPr="00146C93">
        <w:rPr>
          <w:rFonts w:ascii="Times New Roman" w:hAnsi="Times New Roman" w:cs="Times New Roman"/>
        </w:rPr>
        <w:t>. Princeton University Press.</w:t>
      </w:r>
    </w:p>
    <w:p w14:paraId="70D3EE5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Douglas, A. E., &amp; Werren, J. H. (2016). Holes in the Hologenome: Why Host-Microbe Symbioses Are Not Holobionts. </w:t>
      </w:r>
      <w:r w:rsidRPr="00146C93">
        <w:rPr>
          <w:rFonts w:ascii="Times New Roman" w:hAnsi="Times New Roman" w:cs="Times New Roman"/>
          <w:i/>
          <w:iCs/>
        </w:rPr>
        <w:t>mBio</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(2), e02099-15, /mbio/7/2/e02099-15.atom. https://doi.org/10.1128/mBio.02099-15</w:t>
      </w:r>
    </w:p>
    <w:p w14:paraId="0D6C819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Douglas, A. J., Hug, L. A., &amp; Katzenback, B. A. (2020). Composition of the North American wood frog (Rana sylvatica) skin microbiome and seasonal variation in community structure. </w:t>
      </w:r>
      <w:r w:rsidRPr="00146C93">
        <w:rPr>
          <w:rFonts w:ascii="Times New Roman" w:hAnsi="Times New Roman" w:cs="Times New Roman"/>
          <w:i/>
          <w:iCs/>
        </w:rPr>
        <w:t>bioRxiv</w:t>
      </w:r>
      <w:r w:rsidRPr="00146C93">
        <w:rPr>
          <w:rFonts w:ascii="Times New Roman" w:hAnsi="Times New Roman" w:cs="Times New Roman"/>
        </w:rPr>
        <w:t>, 2020.01.28.921544. https://doi.org/10.1101/2020.01.28.921544</w:t>
      </w:r>
    </w:p>
    <w:p w14:paraId="16B33D1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Dror, B., Jurkevitch, E., &amp; Cytryn, E. (2020). State-of-the-art methodologies to identify antimicrobial secondary metabolites in soil bacterial communities-A review. </w:t>
      </w:r>
      <w:r w:rsidRPr="00146C93">
        <w:rPr>
          <w:rFonts w:ascii="Times New Roman" w:hAnsi="Times New Roman" w:cs="Times New Roman"/>
          <w:i/>
          <w:iCs/>
        </w:rPr>
        <w:t>Soil Biology and Biochemistry</w:t>
      </w:r>
      <w:r w:rsidRPr="00146C93">
        <w:rPr>
          <w:rFonts w:ascii="Times New Roman" w:hAnsi="Times New Roman" w:cs="Times New Roman"/>
        </w:rPr>
        <w:t xml:space="preserve">, </w:t>
      </w:r>
      <w:r w:rsidRPr="00146C93">
        <w:rPr>
          <w:rFonts w:ascii="Times New Roman" w:hAnsi="Times New Roman" w:cs="Times New Roman"/>
          <w:i/>
          <w:iCs/>
        </w:rPr>
        <w:t>147</w:t>
      </w:r>
      <w:r w:rsidRPr="00146C93">
        <w:rPr>
          <w:rFonts w:ascii="Times New Roman" w:hAnsi="Times New Roman" w:cs="Times New Roman"/>
        </w:rPr>
        <w:t>, 107838. https://doi.org/10.1016/j.soilbio.2020.107838</w:t>
      </w:r>
    </w:p>
    <w:p w14:paraId="753A812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Dubaissi, E., Rousseau, K., Hughes, G. W., Ridley, C., Grencis, R. K., Roberts, I. S., &amp; Thornton, D. J. (2018). Functional characterization of the mucus barrier on the Xenopus tropicalis skin surface.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115</w:t>
      </w:r>
      <w:r w:rsidRPr="00146C93">
        <w:rPr>
          <w:rFonts w:ascii="Times New Roman" w:hAnsi="Times New Roman" w:cs="Times New Roman"/>
        </w:rPr>
        <w:t>(4), 726–731. https://doi.org/10.1073/pnas.1713539115</w:t>
      </w:r>
    </w:p>
    <w:p w14:paraId="6079960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Duellman, W. E., &amp; Trueb, L. (1994). </w:t>
      </w:r>
      <w:r w:rsidRPr="00146C93">
        <w:rPr>
          <w:rFonts w:ascii="Times New Roman" w:hAnsi="Times New Roman" w:cs="Times New Roman"/>
          <w:i/>
          <w:iCs/>
        </w:rPr>
        <w:t>Biology of Amphibians</w:t>
      </w:r>
      <w:r w:rsidRPr="00146C93">
        <w:rPr>
          <w:rFonts w:ascii="Times New Roman" w:hAnsi="Times New Roman" w:cs="Times New Roman"/>
        </w:rPr>
        <w:t>. Johns Hopkins University Press.</w:t>
      </w:r>
    </w:p>
    <w:p w14:paraId="337E455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Edgar, R. C., &amp; Flyvbjerg, H. (2015). Error filtering, pair assembly and error correction for next-generation sequencing reads. </w:t>
      </w:r>
      <w:r w:rsidRPr="00146C93">
        <w:rPr>
          <w:rFonts w:ascii="Times New Roman" w:hAnsi="Times New Roman" w:cs="Times New Roman"/>
          <w:i/>
          <w:iCs/>
        </w:rPr>
        <w:t>Bioinformatics (Oxford, England)</w:t>
      </w:r>
      <w:r w:rsidRPr="00146C93">
        <w:rPr>
          <w:rFonts w:ascii="Times New Roman" w:hAnsi="Times New Roman" w:cs="Times New Roman"/>
        </w:rPr>
        <w:t xml:space="preserve">, </w:t>
      </w:r>
      <w:r w:rsidRPr="00146C93">
        <w:rPr>
          <w:rFonts w:ascii="Times New Roman" w:hAnsi="Times New Roman" w:cs="Times New Roman"/>
          <w:i/>
          <w:iCs/>
        </w:rPr>
        <w:t>31</w:t>
      </w:r>
      <w:r w:rsidRPr="00146C93">
        <w:rPr>
          <w:rFonts w:ascii="Times New Roman" w:hAnsi="Times New Roman" w:cs="Times New Roman"/>
        </w:rPr>
        <w:t>(21), 3476–3482. https://doi.org/10.1093/bioinformatics/btv401</w:t>
      </w:r>
    </w:p>
    <w:p w14:paraId="0E36110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Elkan, E. (1968). Mucopolysaccharides in the anuran defence against desiccation. </w:t>
      </w:r>
      <w:r w:rsidRPr="00146C93">
        <w:rPr>
          <w:rFonts w:ascii="Times New Roman" w:hAnsi="Times New Roman" w:cs="Times New Roman"/>
          <w:i/>
          <w:iCs/>
        </w:rPr>
        <w:t>Journal of Zoology</w:t>
      </w:r>
      <w:r w:rsidRPr="00146C93">
        <w:rPr>
          <w:rFonts w:ascii="Times New Roman" w:hAnsi="Times New Roman" w:cs="Times New Roman"/>
        </w:rPr>
        <w:t xml:space="preserve">, </w:t>
      </w:r>
      <w:r w:rsidRPr="00146C93">
        <w:rPr>
          <w:rFonts w:ascii="Times New Roman" w:hAnsi="Times New Roman" w:cs="Times New Roman"/>
          <w:i/>
          <w:iCs/>
        </w:rPr>
        <w:t>155</w:t>
      </w:r>
      <w:r w:rsidRPr="00146C93">
        <w:rPr>
          <w:rFonts w:ascii="Times New Roman" w:hAnsi="Times New Roman" w:cs="Times New Roman"/>
        </w:rPr>
        <w:t>(1), 19–53. https://doi.org/10.1111/j.1469-7998.1968.tb03028.x</w:t>
      </w:r>
    </w:p>
    <w:p w14:paraId="4B38739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Ellison, S., Knapp, R., &amp; Vredenburg, V. (2021). Longitudinal patterns in the skin microbiome of wild, individually marked frogs from the Sierra Nevada, California. </w:t>
      </w:r>
      <w:r w:rsidRPr="00146C93">
        <w:rPr>
          <w:rFonts w:ascii="Times New Roman" w:hAnsi="Times New Roman" w:cs="Times New Roman"/>
          <w:i/>
          <w:iCs/>
        </w:rPr>
        <w:t>ISME Communications</w:t>
      </w:r>
      <w:r w:rsidRPr="00146C93">
        <w:rPr>
          <w:rFonts w:ascii="Times New Roman" w:hAnsi="Times New Roman" w:cs="Times New Roman"/>
        </w:rPr>
        <w:t xml:space="preserve">, </w:t>
      </w:r>
      <w:r w:rsidRPr="00146C93">
        <w:rPr>
          <w:rFonts w:ascii="Times New Roman" w:hAnsi="Times New Roman" w:cs="Times New Roman"/>
          <w:i/>
          <w:iCs/>
        </w:rPr>
        <w:t>1</w:t>
      </w:r>
      <w:r w:rsidRPr="00146C93">
        <w:rPr>
          <w:rFonts w:ascii="Times New Roman" w:hAnsi="Times New Roman" w:cs="Times New Roman"/>
        </w:rPr>
        <w:t>(1), Article 1. https://doi.org/10.1038/s43705-021-00047-7</w:t>
      </w:r>
    </w:p>
    <w:p w14:paraId="4FB7423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Ellison, S., Rovito, S., Parra-Olea, G., Vásquez-Almazán, C., Flechas, S. V., Bi, K., &amp; Vredenburg, V. T. (2019). The Influence of Habitat and Phylogeny on the Skin Microbiome of Amphibians in Guatemala and Mexico. </w:t>
      </w:r>
      <w:r w:rsidRPr="00146C93">
        <w:rPr>
          <w:rFonts w:ascii="Times New Roman" w:hAnsi="Times New Roman" w:cs="Times New Roman"/>
          <w:i/>
          <w:iCs/>
        </w:rPr>
        <w:t>Microbial Ecology</w:t>
      </w:r>
      <w:r w:rsidRPr="00146C93">
        <w:rPr>
          <w:rFonts w:ascii="Times New Roman" w:hAnsi="Times New Roman" w:cs="Times New Roman"/>
        </w:rPr>
        <w:t xml:space="preserve">, </w:t>
      </w:r>
      <w:r w:rsidRPr="00146C93">
        <w:rPr>
          <w:rFonts w:ascii="Times New Roman" w:hAnsi="Times New Roman" w:cs="Times New Roman"/>
          <w:i/>
          <w:iCs/>
        </w:rPr>
        <w:t>78</w:t>
      </w:r>
      <w:r w:rsidRPr="00146C93">
        <w:rPr>
          <w:rFonts w:ascii="Times New Roman" w:hAnsi="Times New Roman" w:cs="Times New Roman"/>
        </w:rPr>
        <w:t>(1), 257–267. https://doi.org/10.1007/s00248-018-1288-8</w:t>
      </w:r>
    </w:p>
    <w:p w14:paraId="44743A6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Estrada, A., Hughey, M. C., Medina, D., Rebollar, E. A., Walke, J. B., Harris, R. N., &amp; Belden, L. K. (2019). Skin bacterial communities of neotropical treefrogs vary with local environmental conditions at the time of sampling. </w:t>
      </w:r>
      <w:r w:rsidRPr="00146C93">
        <w:rPr>
          <w:rFonts w:ascii="Times New Roman" w:hAnsi="Times New Roman" w:cs="Times New Roman"/>
          <w:i/>
          <w:iCs/>
        </w:rPr>
        <w:t>PeerJ</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 https://doi.org/10.7717/peerj.7044</w:t>
      </w:r>
    </w:p>
    <w:p w14:paraId="39F270D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Falk, P. G., Hooper, L. V., Midtvedt, T., &amp; Gordon, J. I. (1998). Creating and Maintaining the Gastrointestinal Ecosystem: What We Know and Need To Know from Gnotobiology. </w:t>
      </w:r>
      <w:r w:rsidRPr="00146C93">
        <w:rPr>
          <w:rFonts w:ascii="Times New Roman" w:hAnsi="Times New Roman" w:cs="Times New Roman"/>
          <w:i/>
          <w:iCs/>
        </w:rPr>
        <w:t>Microbiology and Molecular Biology Reviews</w:t>
      </w:r>
      <w:r w:rsidRPr="00146C93">
        <w:rPr>
          <w:rFonts w:ascii="Times New Roman" w:hAnsi="Times New Roman" w:cs="Times New Roman"/>
        </w:rPr>
        <w:t xml:space="preserve">, </w:t>
      </w:r>
      <w:r w:rsidRPr="00146C93">
        <w:rPr>
          <w:rFonts w:ascii="Times New Roman" w:hAnsi="Times New Roman" w:cs="Times New Roman"/>
          <w:i/>
          <w:iCs/>
        </w:rPr>
        <w:t>62</w:t>
      </w:r>
      <w:r w:rsidRPr="00146C93">
        <w:rPr>
          <w:rFonts w:ascii="Times New Roman" w:hAnsi="Times New Roman" w:cs="Times New Roman"/>
        </w:rPr>
        <w:t>(4), 1157–1170.</w:t>
      </w:r>
    </w:p>
    <w:p w14:paraId="24E0C57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Fierer, N., &amp; Jackson, R. B. (2006). The diversity and biogeography of soil bacterial communities.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103</w:t>
      </w:r>
      <w:r w:rsidRPr="00146C93">
        <w:rPr>
          <w:rFonts w:ascii="Times New Roman" w:hAnsi="Times New Roman" w:cs="Times New Roman"/>
        </w:rPr>
        <w:t>(3), 626–631. https://doi.org/10.1073/pnas.0507535103</w:t>
      </w:r>
    </w:p>
    <w:p w14:paraId="5E05729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Fites, J. S., Ramsey, J. P., Holden, W. M., Collier, S. P., Sutherland, D. M., Reinert, L. K., Gayek, A. S., Dermody, T. S., Aune, T. M., Oswald-Richter, K., &amp; Rollins-Smith, L. A. (2013). The invasive chytrid fungus of amphibians paralyzes lymphocyte responses. </w:t>
      </w:r>
      <w:r w:rsidRPr="00146C93">
        <w:rPr>
          <w:rFonts w:ascii="Times New Roman" w:hAnsi="Times New Roman" w:cs="Times New Roman"/>
          <w:i/>
          <w:iCs/>
        </w:rPr>
        <w:t>Science (New York, N.Y.)</w:t>
      </w:r>
      <w:r w:rsidRPr="00146C93">
        <w:rPr>
          <w:rFonts w:ascii="Times New Roman" w:hAnsi="Times New Roman" w:cs="Times New Roman"/>
        </w:rPr>
        <w:t xml:space="preserve">, </w:t>
      </w:r>
      <w:r w:rsidRPr="00146C93">
        <w:rPr>
          <w:rFonts w:ascii="Times New Roman" w:hAnsi="Times New Roman" w:cs="Times New Roman"/>
          <w:i/>
          <w:iCs/>
        </w:rPr>
        <w:t>342</w:t>
      </w:r>
      <w:r w:rsidRPr="00146C93">
        <w:rPr>
          <w:rFonts w:ascii="Times New Roman" w:hAnsi="Times New Roman" w:cs="Times New Roman"/>
        </w:rPr>
        <w:t>(6156), 366–369. PubMed. https://doi.org/10.1126/science.1243316</w:t>
      </w:r>
    </w:p>
    <w:p w14:paraId="120A532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Fitzpatrick, B. M., &amp; Allison, A. L. (2014). Similarity and differentiation between bacteria associated with skin of salamanders (Plethodon jordani) and free-living assemblages. </w:t>
      </w:r>
      <w:r w:rsidRPr="00146C93">
        <w:rPr>
          <w:rFonts w:ascii="Times New Roman" w:hAnsi="Times New Roman" w:cs="Times New Roman"/>
          <w:i/>
          <w:iCs/>
        </w:rPr>
        <w:t>FEMS Microbiology Ecology</w:t>
      </w:r>
      <w:r w:rsidRPr="00146C93">
        <w:rPr>
          <w:rFonts w:ascii="Times New Roman" w:hAnsi="Times New Roman" w:cs="Times New Roman"/>
        </w:rPr>
        <w:t xml:space="preserve">, </w:t>
      </w:r>
      <w:r w:rsidRPr="00146C93">
        <w:rPr>
          <w:rFonts w:ascii="Times New Roman" w:hAnsi="Times New Roman" w:cs="Times New Roman"/>
          <w:i/>
          <w:iCs/>
        </w:rPr>
        <w:t>88</w:t>
      </w:r>
      <w:r w:rsidRPr="00146C93">
        <w:rPr>
          <w:rFonts w:ascii="Times New Roman" w:hAnsi="Times New Roman" w:cs="Times New Roman"/>
        </w:rPr>
        <w:t>(3), 482–494. https://doi.org/10.1111/1574-6941.12314</w:t>
      </w:r>
    </w:p>
    <w:p w14:paraId="312453B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Flechas, S. V., Acosta-González, A., Escobar, L. A., Kueneman, J. G., Sánchez-Quitian, Z. A., Parra-Giraldo, C. M., Rollins-Smith, L. A., Reinert, L. K., Vredenburg, V. T., Amézquita, A., &amp; Woodhams, D. C. (2019). Microbiota and skin defense peptides may facilitate coexistence of two sympatric Andean frog species with a lethal pathogen.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13</w:t>
      </w:r>
      <w:r w:rsidRPr="00146C93">
        <w:rPr>
          <w:rFonts w:ascii="Times New Roman" w:hAnsi="Times New Roman" w:cs="Times New Roman"/>
        </w:rPr>
        <w:t>(2), 361–373. https://doi.org/10.1038/s41396-018-0284-9</w:t>
      </w:r>
    </w:p>
    <w:p w14:paraId="59AC397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Flechas, S. V., Sarmiento, C., Cárdenas, M. E., Medina, E. M., Restrepo, S., &amp; Amézquita, A. (2012). Surviving Chytridiomycosis: Differential Anti-</w:t>
      </w:r>
      <w:r w:rsidRPr="00F45682">
        <w:rPr>
          <w:rFonts w:ascii="Times New Roman" w:hAnsi="Times New Roman" w:cs="Times New Roman"/>
          <w:i/>
          <w:iCs/>
        </w:rPr>
        <w:t xml:space="preserve">Batrachochytrium dendrobatidis </w:t>
      </w:r>
      <w:r w:rsidRPr="00146C93">
        <w:rPr>
          <w:rFonts w:ascii="Times New Roman" w:hAnsi="Times New Roman" w:cs="Times New Roman"/>
        </w:rPr>
        <w:t xml:space="preserve">Activity in Bacterial Isolates from Three Lowland Species of Atelopus.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(9), e44832. https://doi.org/10.1371/journal.pone.0044832</w:t>
      </w:r>
    </w:p>
    <w:p w14:paraId="3F258DF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Fredericks, L., &amp; Dankert, J. (2000). Antibacterial and hemolytic activity of the skin of the terrestrial salamander,Plethodon cinereus. </w:t>
      </w:r>
      <w:r w:rsidRPr="00146C93">
        <w:rPr>
          <w:rFonts w:ascii="Times New Roman" w:hAnsi="Times New Roman" w:cs="Times New Roman"/>
          <w:i/>
          <w:iCs/>
        </w:rPr>
        <w:t>The Journal of Experimental Zoology</w:t>
      </w:r>
      <w:r w:rsidRPr="00146C93">
        <w:rPr>
          <w:rFonts w:ascii="Times New Roman" w:hAnsi="Times New Roman" w:cs="Times New Roman"/>
        </w:rPr>
        <w:t xml:space="preserve">, </w:t>
      </w:r>
      <w:r w:rsidRPr="00146C93">
        <w:rPr>
          <w:rFonts w:ascii="Times New Roman" w:hAnsi="Times New Roman" w:cs="Times New Roman"/>
          <w:i/>
          <w:iCs/>
        </w:rPr>
        <w:t>287</w:t>
      </w:r>
      <w:r w:rsidRPr="00146C93">
        <w:rPr>
          <w:rFonts w:ascii="Times New Roman" w:hAnsi="Times New Roman" w:cs="Times New Roman"/>
        </w:rPr>
        <w:t>, 340–345. https://doi.org/10.1002/1097-010X(20001001)287:53.0.CO;2-9</w:t>
      </w:r>
    </w:p>
    <w:p w14:paraId="1EC3AFE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Fukami, T. (2015). Historical Contingency in Community Assembly: Integrating Niches, Species Pools, and Priority Effects. </w:t>
      </w:r>
      <w:r w:rsidRPr="00146C93">
        <w:rPr>
          <w:rFonts w:ascii="Times New Roman" w:hAnsi="Times New Roman" w:cs="Times New Roman"/>
          <w:i/>
          <w:iCs/>
        </w:rPr>
        <w:t>Annual Review of Ecology, Evolution, and Systematics</w:t>
      </w:r>
      <w:r w:rsidRPr="00146C93">
        <w:rPr>
          <w:rFonts w:ascii="Times New Roman" w:hAnsi="Times New Roman" w:cs="Times New Roman"/>
        </w:rPr>
        <w:t xml:space="preserve">, </w:t>
      </w:r>
      <w:r w:rsidRPr="00146C93">
        <w:rPr>
          <w:rFonts w:ascii="Times New Roman" w:hAnsi="Times New Roman" w:cs="Times New Roman"/>
          <w:i/>
          <w:iCs/>
        </w:rPr>
        <w:t>46</w:t>
      </w:r>
      <w:r w:rsidRPr="00146C93">
        <w:rPr>
          <w:rFonts w:ascii="Times New Roman" w:hAnsi="Times New Roman" w:cs="Times New Roman"/>
        </w:rPr>
        <w:t>(1), 1–23. https://doi.org/10.1146/annurev-ecolsys-110411-160340</w:t>
      </w:r>
    </w:p>
    <w:p w14:paraId="5440A1E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Furman, O., Shenhav, L., Sasson, G., Kokou, F., Honig, H., Jacoby, S., Hertz, T., Cordero, O. X., Halperin, E., &amp; Mizrahi, I. (2020). Stochasticity constrained by deterministic effects of diet and age drive rumen microbiome assembly dynamics. </w:t>
      </w:r>
      <w:r w:rsidRPr="00146C93">
        <w:rPr>
          <w:rFonts w:ascii="Times New Roman" w:hAnsi="Times New Roman" w:cs="Times New Roman"/>
          <w:i/>
          <w:iCs/>
        </w:rPr>
        <w:t>Nature Communications</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(1), Article 1. https://doi.org/10.1038/s41467-020-15652-8</w:t>
      </w:r>
    </w:p>
    <w:p w14:paraId="4E8F614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Garbe, J., &amp; Collin, M. (2012). Bacterial hydrolysis of host glycoproteins—Powerful protein modification and efficient nutrient acquisition. </w:t>
      </w:r>
      <w:r w:rsidRPr="00146C93">
        <w:rPr>
          <w:rFonts w:ascii="Times New Roman" w:hAnsi="Times New Roman" w:cs="Times New Roman"/>
          <w:i/>
          <w:iCs/>
        </w:rPr>
        <w:t>Journal of Innate Immunity</w:t>
      </w:r>
      <w:r w:rsidRPr="00146C93">
        <w:rPr>
          <w:rFonts w:ascii="Times New Roman" w:hAnsi="Times New Roman" w:cs="Times New Roman"/>
        </w:rPr>
        <w:t xml:space="preserve">, </w:t>
      </w:r>
      <w:r w:rsidRPr="00146C93">
        <w:rPr>
          <w:rFonts w:ascii="Times New Roman" w:hAnsi="Times New Roman" w:cs="Times New Roman"/>
          <w:i/>
          <w:iCs/>
        </w:rPr>
        <w:t>4</w:t>
      </w:r>
      <w:r w:rsidRPr="00146C93">
        <w:rPr>
          <w:rFonts w:ascii="Times New Roman" w:hAnsi="Times New Roman" w:cs="Times New Roman"/>
        </w:rPr>
        <w:t>(2), 121–131. https://doi.org/10.1159/000334775</w:t>
      </w:r>
    </w:p>
    <w:p w14:paraId="6D9486A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Godon, J.-J., Arulazhagan, P., Steyer, J.-P., &amp; Hamelin, J. (2016). Vertebrate bacterial gut diversity: Size also matters. </w:t>
      </w:r>
      <w:r w:rsidRPr="00146C93">
        <w:rPr>
          <w:rFonts w:ascii="Times New Roman" w:hAnsi="Times New Roman" w:cs="Times New Roman"/>
          <w:i/>
          <w:iCs/>
        </w:rPr>
        <w:t>BMC Ecology</w:t>
      </w:r>
      <w:r w:rsidRPr="00146C93">
        <w:rPr>
          <w:rFonts w:ascii="Times New Roman" w:hAnsi="Times New Roman" w:cs="Times New Roman"/>
        </w:rPr>
        <w:t xml:space="preserve">, </w:t>
      </w:r>
      <w:r w:rsidRPr="00146C93">
        <w:rPr>
          <w:rFonts w:ascii="Times New Roman" w:hAnsi="Times New Roman" w:cs="Times New Roman"/>
          <w:i/>
          <w:iCs/>
        </w:rPr>
        <w:t>16</w:t>
      </w:r>
      <w:r w:rsidRPr="00146C93">
        <w:rPr>
          <w:rFonts w:ascii="Times New Roman" w:hAnsi="Times New Roman" w:cs="Times New Roman"/>
        </w:rPr>
        <w:t>. https://doi.org/10.1186/s12898-016-0071-2</w:t>
      </w:r>
    </w:p>
    <w:p w14:paraId="75FEEA5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Gohl, D. M., Vangay, P., Garbe, J., MacLean, A., Hauge, A., Becker, A., Gould, T. J., Clayton, J. B., Johnson, T. J., Hunter, R., Knights, D., &amp; Beckman, K. B. (2016). Systematic improvement of amplicon marker gene methods for increased accuracy in microbiome studies. </w:t>
      </w:r>
      <w:r w:rsidRPr="00146C93">
        <w:rPr>
          <w:rFonts w:ascii="Times New Roman" w:hAnsi="Times New Roman" w:cs="Times New Roman"/>
          <w:i/>
          <w:iCs/>
        </w:rPr>
        <w:t>Nature Biotechnology</w:t>
      </w:r>
      <w:r w:rsidRPr="00146C93">
        <w:rPr>
          <w:rFonts w:ascii="Times New Roman" w:hAnsi="Times New Roman" w:cs="Times New Roman"/>
        </w:rPr>
        <w:t xml:space="preserve">, </w:t>
      </w:r>
      <w:r w:rsidRPr="00146C93">
        <w:rPr>
          <w:rFonts w:ascii="Times New Roman" w:hAnsi="Times New Roman" w:cs="Times New Roman"/>
          <w:i/>
          <w:iCs/>
        </w:rPr>
        <w:t>34</w:t>
      </w:r>
      <w:r w:rsidRPr="00146C93">
        <w:rPr>
          <w:rFonts w:ascii="Times New Roman" w:hAnsi="Times New Roman" w:cs="Times New Roman"/>
        </w:rPr>
        <w:t>(9), 942–949. https://doi.org/10.1038/nbt.3601</w:t>
      </w:r>
    </w:p>
    <w:p w14:paraId="4F72046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Gonze, D., Lahti, L., Raes, J., &amp; Faust, K. (2017). Multi-stability and the origin of microbial community types.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(10), 2159–2166. https://doi.org/10.1038/ismej.2017.60</w:t>
      </w:r>
    </w:p>
    <w:p w14:paraId="642068D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Gratwicke, B., Evans, M., Grant, E. H. C., &amp; Greathouse, J. (2011). Low Prevalence of </w:t>
      </w:r>
      <w:r w:rsidRPr="00F45682">
        <w:rPr>
          <w:rFonts w:ascii="Times New Roman" w:hAnsi="Times New Roman" w:cs="Times New Roman"/>
          <w:i/>
          <w:iCs/>
        </w:rPr>
        <w:t>Batrachochytrium dendrobatidis</w:t>
      </w:r>
      <w:r w:rsidRPr="00146C93">
        <w:rPr>
          <w:rFonts w:ascii="Times New Roman" w:hAnsi="Times New Roman" w:cs="Times New Roman"/>
        </w:rPr>
        <w:t xml:space="preserve"> Detected in Appalachian Salamanders from Warren County, Virginia, USA. </w:t>
      </w:r>
      <w:r w:rsidRPr="00146C93">
        <w:rPr>
          <w:rFonts w:ascii="Times New Roman" w:hAnsi="Times New Roman" w:cs="Times New Roman"/>
          <w:i/>
          <w:iCs/>
        </w:rPr>
        <w:t>Herpetological Review</w:t>
      </w:r>
      <w:r w:rsidRPr="00146C93">
        <w:rPr>
          <w:rFonts w:ascii="Times New Roman" w:hAnsi="Times New Roman" w:cs="Times New Roman"/>
        </w:rPr>
        <w:t xml:space="preserve">, </w:t>
      </w:r>
      <w:r w:rsidRPr="00146C93">
        <w:rPr>
          <w:rFonts w:ascii="Times New Roman" w:hAnsi="Times New Roman" w:cs="Times New Roman"/>
          <w:i/>
          <w:iCs/>
        </w:rPr>
        <w:t>42</w:t>
      </w:r>
      <w:r w:rsidRPr="00146C93">
        <w:rPr>
          <w:rFonts w:ascii="Times New Roman" w:hAnsi="Times New Roman" w:cs="Times New Roman"/>
        </w:rPr>
        <w:t>(2), 217–219.</w:t>
      </w:r>
    </w:p>
    <w:p w14:paraId="4A62F67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Grisnik, M., Bowers, O., Moore, A., Jones, B., Campbell, J., Walker, D., &amp; Walker, D. (2020). </w:t>
      </w:r>
      <w:r w:rsidRPr="00146C93">
        <w:rPr>
          <w:rFonts w:ascii="Times New Roman" w:hAnsi="Times New Roman" w:cs="Times New Roman"/>
          <w:i/>
          <w:iCs/>
        </w:rPr>
        <w:t>The cutaneous microbiota of bats has in vitro antifungal activity against the white nose pathogen</w:t>
      </w:r>
      <w:r w:rsidRPr="00146C93">
        <w:rPr>
          <w:rFonts w:ascii="Times New Roman" w:hAnsi="Times New Roman" w:cs="Times New Roman"/>
        </w:rPr>
        <w:t>. https://doi.org/10.1093/femsec/fiz193/5710932</w:t>
      </w:r>
    </w:p>
    <w:p w14:paraId="5197195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Grisnik, M., Gray, M. J., Piovia-Scott, J., Carter, E. D., &amp; Sutton, W. B. (2023). Incorporating caudate species susceptibilities and climate change into models of </w:t>
      </w:r>
      <w:r w:rsidRPr="00146C93">
        <w:rPr>
          <w:rFonts w:ascii="Times New Roman" w:hAnsi="Times New Roman" w:cs="Times New Roman"/>
          <w:i/>
          <w:iCs/>
        </w:rPr>
        <w:t>Batrachochytrium salamandrivorans</w:t>
      </w:r>
      <w:r w:rsidRPr="00146C93">
        <w:rPr>
          <w:rFonts w:ascii="Times New Roman" w:hAnsi="Times New Roman" w:cs="Times New Roman"/>
        </w:rPr>
        <w:t xml:space="preserve"> risk in the United States of America. </w:t>
      </w:r>
      <w:r w:rsidRPr="00146C93">
        <w:rPr>
          <w:rFonts w:ascii="Times New Roman" w:hAnsi="Times New Roman" w:cs="Times New Roman"/>
          <w:i/>
          <w:iCs/>
        </w:rPr>
        <w:t>Biological Conservation</w:t>
      </w:r>
      <w:r w:rsidRPr="00146C93">
        <w:rPr>
          <w:rFonts w:ascii="Times New Roman" w:hAnsi="Times New Roman" w:cs="Times New Roman"/>
        </w:rPr>
        <w:t xml:space="preserve">, </w:t>
      </w:r>
      <w:r w:rsidRPr="00146C93">
        <w:rPr>
          <w:rFonts w:ascii="Times New Roman" w:hAnsi="Times New Roman" w:cs="Times New Roman"/>
          <w:i/>
          <w:iCs/>
        </w:rPr>
        <w:t>284</w:t>
      </w:r>
      <w:r w:rsidRPr="00146C93">
        <w:rPr>
          <w:rFonts w:ascii="Times New Roman" w:hAnsi="Times New Roman" w:cs="Times New Roman"/>
        </w:rPr>
        <w:t>, 110181. https://doi.org/10.1016/j.biocon.2023.110181</w:t>
      </w:r>
    </w:p>
    <w:p w14:paraId="2CB2EE3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Grogan, L. F., Skerratt, L. F., Berger, L., Cashins, S. D., Trengove, R. D., &amp; Gummer, J. P. A. (2018). Chytridiomycosis causes catastrophic organism-wide metabolic dysregulation including profound failure of cellular energy pathways. </w:t>
      </w:r>
      <w:r w:rsidRPr="00146C93">
        <w:rPr>
          <w:rFonts w:ascii="Times New Roman" w:hAnsi="Times New Roman" w:cs="Times New Roman"/>
          <w:i/>
          <w:iCs/>
        </w:rPr>
        <w:t>Scientific Reports</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(1), Article 1. https://doi.org/10.1038/s41598-018-26427-z</w:t>
      </w:r>
    </w:p>
    <w:p w14:paraId="6769EA9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Hairston, N. G. (1986). Species Packing in </w:t>
      </w:r>
      <w:r w:rsidRPr="00B122F1">
        <w:rPr>
          <w:rFonts w:ascii="Times New Roman" w:hAnsi="Times New Roman" w:cs="Times New Roman"/>
          <w:i/>
          <w:iCs/>
        </w:rPr>
        <w:t>Desmognathus</w:t>
      </w:r>
      <w:r w:rsidRPr="00146C93">
        <w:rPr>
          <w:rFonts w:ascii="Times New Roman" w:hAnsi="Times New Roman" w:cs="Times New Roman"/>
        </w:rPr>
        <w:t xml:space="preserve"> Salamanders: Experimental Demonstration of Predation and Competition. </w:t>
      </w:r>
      <w:r w:rsidRPr="00146C93">
        <w:rPr>
          <w:rFonts w:ascii="Times New Roman" w:hAnsi="Times New Roman" w:cs="Times New Roman"/>
          <w:i/>
          <w:iCs/>
        </w:rPr>
        <w:t>The American Naturalist</w:t>
      </w:r>
      <w:r w:rsidRPr="00146C93">
        <w:rPr>
          <w:rFonts w:ascii="Times New Roman" w:hAnsi="Times New Roman" w:cs="Times New Roman"/>
        </w:rPr>
        <w:t xml:space="preserve">, </w:t>
      </w:r>
      <w:r w:rsidRPr="00146C93">
        <w:rPr>
          <w:rFonts w:ascii="Times New Roman" w:hAnsi="Times New Roman" w:cs="Times New Roman"/>
          <w:i/>
          <w:iCs/>
        </w:rPr>
        <w:t>127</w:t>
      </w:r>
      <w:r w:rsidRPr="00146C93">
        <w:rPr>
          <w:rFonts w:ascii="Times New Roman" w:hAnsi="Times New Roman" w:cs="Times New Roman"/>
        </w:rPr>
        <w:t>(3), 266–291.</w:t>
      </w:r>
    </w:p>
    <w:p w14:paraId="655922D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Hammer, T. J., Janzen, D. H., Hallwachs, W., Jaffe, S. P., &amp; Fierer, N. (2017). Caterpillars lack a resident gut microbiome.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114</w:t>
      </w:r>
      <w:r w:rsidRPr="00146C93">
        <w:rPr>
          <w:rFonts w:ascii="Times New Roman" w:hAnsi="Times New Roman" w:cs="Times New Roman"/>
        </w:rPr>
        <w:t>(36), 9641–9646. https://doi.org/10.1073/pnas.1707186114</w:t>
      </w:r>
    </w:p>
    <w:p w14:paraId="279B056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Hammerstein, P., &amp; Noë, R. (2016). Biological trade and markets. </w:t>
      </w:r>
      <w:r w:rsidRPr="00146C93">
        <w:rPr>
          <w:rFonts w:ascii="Times New Roman" w:hAnsi="Times New Roman" w:cs="Times New Roman"/>
          <w:i/>
          <w:iCs/>
        </w:rPr>
        <w:t>Philosophical Transactions of the Royal Society B: Biological Sciences</w:t>
      </w:r>
      <w:r w:rsidRPr="00146C93">
        <w:rPr>
          <w:rFonts w:ascii="Times New Roman" w:hAnsi="Times New Roman" w:cs="Times New Roman"/>
        </w:rPr>
        <w:t xml:space="preserve">, </w:t>
      </w:r>
      <w:r w:rsidRPr="00146C93">
        <w:rPr>
          <w:rFonts w:ascii="Times New Roman" w:hAnsi="Times New Roman" w:cs="Times New Roman"/>
          <w:i/>
          <w:iCs/>
        </w:rPr>
        <w:t>371</w:t>
      </w:r>
      <w:r w:rsidRPr="00146C93">
        <w:rPr>
          <w:rFonts w:ascii="Times New Roman" w:hAnsi="Times New Roman" w:cs="Times New Roman"/>
        </w:rPr>
        <w:t>(1687), 20150101. https://doi.org/10.1098/rstb.2015.0101</w:t>
      </w:r>
    </w:p>
    <w:p w14:paraId="012AEBB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Hansen, A. K., &amp; Moran, N. A. (2011). Aphid genome expression reveals host–symbiont cooperation in the production of amino acids.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108</w:t>
      </w:r>
      <w:r w:rsidRPr="00146C93">
        <w:rPr>
          <w:rFonts w:ascii="Times New Roman" w:hAnsi="Times New Roman" w:cs="Times New Roman"/>
        </w:rPr>
        <w:t>(7), 2849–2854. https://doi.org/10.1073/pnas.1013465108</w:t>
      </w:r>
    </w:p>
    <w:p w14:paraId="66A217F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Harris, R. N., Brucker, R. M., Walke, J. B., Becker, M. H., Schwantes, C. R., Flaherty, D. C., Lam, B. A., Woodhams, D. C., Briggs, C. J., Vredenburg, V. T., &amp; Minbiole, K. P. C. (2009). Skin microbes on frogs prevent morbidity and mortality caused by a lethal skin fungus.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(7), Article 7. https://doi.org/10.1038/ismej.2009.27</w:t>
      </w:r>
    </w:p>
    <w:p w14:paraId="737E069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Harris, R. N., James, T. Y., Lauer, A., Simon, M. A., &amp; Patel, A. (2006). Amphibian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Is Inhibited by the Cutaneous Bacteria of Amphibian Species. </w:t>
      </w:r>
      <w:r w:rsidRPr="00146C93">
        <w:rPr>
          <w:rFonts w:ascii="Times New Roman" w:hAnsi="Times New Roman" w:cs="Times New Roman"/>
          <w:i/>
          <w:iCs/>
        </w:rPr>
        <w:t>EcoHealth</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(1), 53–56. https://doi.org/10.1007/s10393-005-0009-1</w:t>
      </w:r>
    </w:p>
    <w:p w14:paraId="44CFCC6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Haslam, I. S., Roubos, E. W., Mangoni, M. L., Yoshizato, K., Vaudry, H., Kloepper, J. E., Pattwell, D. M., Maderson, P. F. A., &amp; Paus, R. (2014). From frog integument to human skin: Dermatological perspectives from frog skin biology. </w:t>
      </w:r>
      <w:r w:rsidRPr="00146C93">
        <w:rPr>
          <w:rFonts w:ascii="Times New Roman" w:hAnsi="Times New Roman" w:cs="Times New Roman"/>
          <w:i/>
          <w:iCs/>
        </w:rPr>
        <w:t>Biological Reviews</w:t>
      </w:r>
      <w:r w:rsidRPr="00146C93">
        <w:rPr>
          <w:rFonts w:ascii="Times New Roman" w:hAnsi="Times New Roman" w:cs="Times New Roman"/>
        </w:rPr>
        <w:t xml:space="preserve">, </w:t>
      </w:r>
      <w:r w:rsidRPr="00146C93">
        <w:rPr>
          <w:rFonts w:ascii="Times New Roman" w:hAnsi="Times New Roman" w:cs="Times New Roman"/>
          <w:i/>
          <w:iCs/>
        </w:rPr>
        <w:t>89</w:t>
      </w:r>
      <w:r w:rsidRPr="00146C93">
        <w:rPr>
          <w:rFonts w:ascii="Times New Roman" w:hAnsi="Times New Roman" w:cs="Times New Roman"/>
        </w:rPr>
        <w:t>(3), 618–655. https://doi.org/10.1111/brv.12072</w:t>
      </w:r>
    </w:p>
    <w:p w14:paraId="72E2A8A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Hernández-Gómez, O., Byrne, A. Q., Gunderson, A. R., Jenkinson, T. S., Noss, C. F., Rothstein, A. P., Womack, M. C., &amp; Rosenblum, E. B. (2020a). Invasive vegetation affects amphibian skin microbiota and body condition. </w:t>
      </w:r>
      <w:r w:rsidRPr="00146C93">
        <w:rPr>
          <w:rFonts w:ascii="Times New Roman" w:hAnsi="Times New Roman" w:cs="Times New Roman"/>
          <w:i/>
          <w:iCs/>
        </w:rPr>
        <w:t>PeerJ</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 e8549. https://doi.org/10.7717/peerj.8549</w:t>
      </w:r>
    </w:p>
    <w:p w14:paraId="7C6CB87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Hernández-Gómez, O., Byrne, A. Q., Gunderson, A. R., Jenkinson, T. S., Noss, C. F., Rothstein, A. P., Womack, M. C., &amp; Rosenblum, E. B. (2020b). Invasive vegetation affects amphibian skin microbiota and body condition. </w:t>
      </w:r>
      <w:r w:rsidRPr="00146C93">
        <w:rPr>
          <w:rFonts w:ascii="Times New Roman" w:hAnsi="Times New Roman" w:cs="Times New Roman"/>
          <w:i/>
          <w:iCs/>
        </w:rPr>
        <w:t>PeerJ</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 e8549. https://doi.org/10.7717/peerj.8549</w:t>
      </w:r>
    </w:p>
    <w:p w14:paraId="71EE07C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Hernández-Gómez, O., Hoverman, J. T., &amp; Williams, R. N. (2017). Cutaneous Microbial Community Variation across Populations of Eastern Hellbenders (Cryptobranchus alleganiensis alleganiensis).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 https://doi.org/10.3389/fmicb.2017.01379</w:t>
      </w:r>
    </w:p>
    <w:p w14:paraId="53ADF11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Hernández-Gómez, O., &amp; Hua, J. (2023). From the organismal to biosphere levels: Environmental impacts on the amphibian microbiota. </w:t>
      </w:r>
      <w:r w:rsidRPr="00146C93">
        <w:rPr>
          <w:rFonts w:ascii="Times New Roman" w:hAnsi="Times New Roman" w:cs="Times New Roman"/>
          <w:i/>
          <w:iCs/>
        </w:rPr>
        <w:t>FEMS Microbiology Reviews</w:t>
      </w:r>
      <w:r w:rsidRPr="00146C93">
        <w:rPr>
          <w:rFonts w:ascii="Times New Roman" w:hAnsi="Times New Roman" w:cs="Times New Roman"/>
        </w:rPr>
        <w:t xml:space="preserve">, </w:t>
      </w:r>
      <w:r w:rsidRPr="00146C93">
        <w:rPr>
          <w:rFonts w:ascii="Times New Roman" w:hAnsi="Times New Roman" w:cs="Times New Roman"/>
          <w:i/>
          <w:iCs/>
        </w:rPr>
        <w:t>47</w:t>
      </w:r>
      <w:r w:rsidRPr="00146C93">
        <w:rPr>
          <w:rFonts w:ascii="Times New Roman" w:hAnsi="Times New Roman" w:cs="Times New Roman"/>
        </w:rPr>
        <w:t>(1), fuad002. https://doi.org/10.1093/femsre/fuad002</w:t>
      </w:r>
    </w:p>
    <w:p w14:paraId="5307641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Hernández-Gómez, O., Wuerthner, V., &amp; Hua, J. (2020). Amphibian Host and Skin Microbiota Response to a Common Agricultural Antimicrobial and Internal Parasite. </w:t>
      </w:r>
      <w:r w:rsidRPr="00146C93">
        <w:rPr>
          <w:rFonts w:ascii="Times New Roman" w:hAnsi="Times New Roman" w:cs="Times New Roman"/>
          <w:i/>
          <w:iCs/>
        </w:rPr>
        <w:t>Microbial Ecology</w:t>
      </w:r>
      <w:r w:rsidRPr="00146C93">
        <w:rPr>
          <w:rFonts w:ascii="Times New Roman" w:hAnsi="Times New Roman" w:cs="Times New Roman"/>
        </w:rPr>
        <w:t xml:space="preserve">, </w:t>
      </w:r>
      <w:r w:rsidRPr="00146C93">
        <w:rPr>
          <w:rFonts w:ascii="Times New Roman" w:hAnsi="Times New Roman" w:cs="Times New Roman"/>
          <w:i/>
          <w:iCs/>
        </w:rPr>
        <w:t>79</w:t>
      </w:r>
      <w:r w:rsidRPr="00146C93">
        <w:rPr>
          <w:rFonts w:ascii="Times New Roman" w:hAnsi="Times New Roman" w:cs="Times New Roman"/>
        </w:rPr>
        <w:t>(1), 175–191. https://doi.org/10.1007/s00248-019-01351-5</w:t>
      </w:r>
    </w:p>
    <w:p w14:paraId="5D98751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Highton, R. (2005). Declines of Eastern North American Woodland Salamanders (Plethodon). </w:t>
      </w:r>
      <w:r w:rsidRPr="00146C93">
        <w:rPr>
          <w:rFonts w:ascii="Times New Roman" w:hAnsi="Times New Roman" w:cs="Times New Roman"/>
          <w:i/>
          <w:iCs/>
        </w:rPr>
        <w:t>Amphibian Declines: The Conservation Status of United States Species</w:t>
      </w:r>
      <w:r w:rsidRPr="00146C93">
        <w:rPr>
          <w:rFonts w:ascii="Times New Roman" w:hAnsi="Times New Roman" w:cs="Times New Roman"/>
        </w:rPr>
        <w:t>, 34–46. https://doi.org/10.1525/california/9780520235922.003.0008</w:t>
      </w:r>
    </w:p>
    <w:p w14:paraId="3CCFE06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Hill, A., Grisnik, M., &amp; Walker, D. M. (2022). </w:t>
      </w:r>
      <w:r w:rsidRPr="00146C93">
        <w:rPr>
          <w:rFonts w:ascii="Times New Roman" w:hAnsi="Times New Roman" w:cs="Times New Roman"/>
          <w:i/>
          <w:iCs/>
        </w:rPr>
        <w:t>Bacterial Skin Assemblages of Sympatric Salamanders are Primarily Shaped by Host Genus</w:t>
      </w:r>
      <w:r w:rsidRPr="00146C93">
        <w:rPr>
          <w:rFonts w:ascii="Times New Roman" w:hAnsi="Times New Roman" w:cs="Times New Roman"/>
        </w:rPr>
        <w:t xml:space="preserve"> [Preprint]. In Review. https://doi.org/10.21203/rs.3.rs-1325435/v1</w:t>
      </w:r>
    </w:p>
    <w:p w14:paraId="0DE1618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Hill, M. O. (1973). Diversity and Evenness: A Unifying Notation and Its Consequences. </w:t>
      </w:r>
      <w:r w:rsidRPr="00146C93">
        <w:rPr>
          <w:rFonts w:ascii="Times New Roman" w:hAnsi="Times New Roman" w:cs="Times New Roman"/>
          <w:i/>
          <w:iCs/>
        </w:rPr>
        <w:t>Ecology</w:t>
      </w:r>
      <w:r w:rsidRPr="00146C93">
        <w:rPr>
          <w:rFonts w:ascii="Times New Roman" w:hAnsi="Times New Roman" w:cs="Times New Roman"/>
        </w:rPr>
        <w:t xml:space="preserve">, </w:t>
      </w:r>
      <w:r w:rsidRPr="00146C93">
        <w:rPr>
          <w:rFonts w:ascii="Times New Roman" w:hAnsi="Times New Roman" w:cs="Times New Roman"/>
          <w:i/>
          <w:iCs/>
        </w:rPr>
        <w:t>54</w:t>
      </w:r>
      <w:r w:rsidRPr="00146C93">
        <w:rPr>
          <w:rFonts w:ascii="Times New Roman" w:hAnsi="Times New Roman" w:cs="Times New Roman"/>
        </w:rPr>
        <w:t>(2), 427–432. JSTOR. https://doi.org/10.2307/1934352</w:t>
      </w:r>
    </w:p>
    <w:p w14:paraId="1A667CA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Holden, W. M., Hanlon, S. M., Woodhams, D. C., Chappell, T. M., Wells, H. L., Glisson, S. M., McKenzie, V. J., Knight, R., Parris, M. J., &amp; Rollins-Smith, L. A. (2015). Skin bacteria provide early protection for newly metamorphosed southern leopard frogs (</w:t>
      </w:r>
      <w:r w:rsidRPr="00641969">
        <w:rPr>
          <w:rFonts w:ascii="Times New Roman" w:hAnsi="Times New Roman" w:cs="Times New Roman"/>
          <w:i/>
          <w:iCs/>
        </w:rPr>
        <w:t>Rana sphenocephala</w:t>
      </w:r>
      <w:r w:rsidRPr="00146C93">
        <w:rPr>
          <w:rFonts w:ascii="Times New Roman" w:hAnsi="Times New Roman" w:cs="Times New Roman"/>
        </w:rPr>
        <w:t xml:space="preserve">) against the frog-killing fungus,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Biological Conservation</w:t>
      </w:r>
      <w:r w:rsidRPr="00146C93">
        <w:rPr>
          <w:rFonts w:ascii="Times New Roman" w:hAnsi="Times New Roman" w:cs="Times New Roman"/>
        </w:rPr>
        <w:t xml:space="preserve">, </w:t>
      </w:r>
      <w:r w:rsidRPr="00146C93">
        <w:rPr>
          <w:rFonts w:ascii="Times New Roman" w:hAnsi="Times New Roman" w:cs="Times New Roman"/>
          <w:i/>
          <w:iCs/>
        </w:rPr>
        <w:t>187</w:t>
      </w:r>
      <w:r w:rsidRPr="00146C93">
        <w:rPr>
          <w:rFonts w:ascii="Times New Roman" w:hAnsi="Times New Roman" w:cs="Times New Roman"/>
        </w:rPr>
        <w:t>, 91–102. https://doi.org/10.1016/j.biocon.2015.04.007</w:t>
      </w:r>
    </w:p>
    <w:p w14:paraId="68C84CD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Horn, H. S. (1966). Measurement of “Overlap” in Comparative Ecological Studies. </w:t>
      </w:r>
      <w:r w:rsidRPr="00146C93">
        <w:rPr>
          <w:rFonts w:ascii="Times New Roman" w:hAnsi="Times New Roman" w:cs="Times New Roman"/>
          <w:i/>
          <w:iCs/>
        </w:rPr>
        <w:t>The American Naturalist</w:t>
      </w:r>
      <w:r w:rsidRPr="00146C93">
        <w:rPr>
          <w:rFonts w:ascii="Times New Roman" w:hAnsi="Times New Roman" w:cs="Times New Roman"/>
        </w:rPr>
        <w:t xml:space="preserve">, </w:t>
      </w:r>
      <w:r w:rsidRPr="00146C93">
        <w:rPr>
          <w:rFonts w:ascii="Times New Roman" w:hAnsi="Times New Roman" w:cs="Times New Roman"/>
          <w:i/>
          <w:iCs/>
        </w:rPr>
        <w:t>100</w:t>
      </w:r>
      <w:r w:rsidRPr="00146C93">
        <w:rPr>
          <w:rFonts w:ascii="Times New Roman" w:hAnsi="Times New Roman" w:cs="Times New Roman"/>
        </w:rPr>
        <w:t>(914), 419–424. JSTOR.</w:t>
      </w:r>
    </w:p>
    <w:p w14:paraId="67387C7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Hossack, B. R., Adams, M. J., Grant, E. H. C., Pearl, C. A., Bettaso, J. B., Barichivich, W. J., Lowe, W. H., True, K., Ware, J. L., &amp; Corn, P. S. (2010). Low Prevalence of Chytrid Fungus (</w:t>
      </w:r>
      <w:r w:rsidRPr="00F45682">
        <w:rPr>
          <w:rFonts w:ascii="Times New Roman" w:hAnsi="Times New Roman" w:cs="Times New Roman"/>
          <w:i/>
          <w:iCs/>
        </w:rPr>
        <w:t>Batrachochytrium dendrobatidis</w:t>
      </w:r>
      <w:r w:rsidRPr="00146C93">
        <w:rPr>
          <w:rFonts w:ascii="Times New Roman" w:hAnsi="Times New Roman" w:cs="Times New Roman"/>
        </w:rPr>
        <w:t xml:space="preserve">) in Amphibians of U.S. Headwater Streams. </w:t>
      </w:r>
      <w:r w:rsidRPr="00146C93">
        <w:rPr>
          <w:rFonts w:ascii="Times New Roman" w:hAnsi="Times New Roman" w:cs="Times New Roman"/>
          <w:i/>
          <w:iCs/>
        </w:rPr>
        <w:t>Journal of Herpetology</w:t>
      </w:r>
      <w:r w:rsidRPr="00146C93">
        <w:rPr>
          <w:rFonts w:ascii="Times New Roman" w:hAnsi="Times New Roman" w:cs="Times New Roman"/>
        </w:rPr>
        <w:t xml:space="preserve">, </w:t>
      </w:r>
      <w:r w:rsidRPr="00146C93">
        <w:rPr>
          <w:rFonts w:ascii="Times New Roman" w:hAnsi="Times New Roman" w:cs="Times New Roman"/>
          <w:i/>
          <w:iCs/>
        </w:rPr>
        <w:t>44</w:t>
      </w:r>
      <w:r w:rsidRPr="00146C93">
        <w:rPr>
          <w:rFonts w:ascii="Times New Roman" w:hAnsi="Times New Roman" w:cs="Times New Roman"/>
        </w:rPr>
        <w:t>(2), 253–260.</w:t>
      </w:r>
    </w:p>
    <w:p w14:paraId="7D0CC3F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Huan, Y., Kong, Q., Mou, H., &amp; Yi, H. (2020). Antimicrobial Peptides: Classification, Design, Application and Research Progress in Multiple Fields.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 https://www.frontiersin.org/articles/10.3389/fmicb.2020.582779</w:t>
      </w:r>
    </w:p>
    <w:p w14:paraId="6DC5CA0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Hubbell, S. P. (2005). Neutral theory in community ecology and the hypothesis of functional equivalence. </w:t>
      </w:r>
      <w:r w:rsidRPr="00146C93">
        <w:rPr>
          <w:rFonts w:ascii="Times New Roman" w:hAnsi="Times New Roman" w:cs="Times New Roman"/>
          <w:i/>
          <w:iCs/>
        </w:rPr>
        <w:t>Functional Ecology</w:t>
      </w:r>
      <w:r w:rsidRPr="00146C93">
        <w:rPr>
          <w:rFonts w:ascii="Times New Roman" w:hAnsi="Times New Roman" w:cs="Times New Roman"/>
        </w:rPr>
        <w:t>.</w:t>
      </w:r>
    </w:p>
    <w:p w14:paraId="57E4EB9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Hughey, M. C., Pena, J. A., Reyes, R., Medina, D., Belden, L. K., &amp; Burrowes, P. A. (2017). Skin bacterial microbiome of a generalist Puerto Rican frog varies along elevation and land use gradients. </w:t>
      </w:r>
      <w:r w:rsidRPr="00146C93">
        <w:rPr>
          <w:rFonts w:ascii="Times New Roman" w:hAnsi="Times New Roman" w:cs="Times New Roman"/>
          <w:i/>
          <w:iCs/>
        </w:rPr>
        <w:t>PeerJ</w:t>
      </w:r>
      <w:r w:rsidRPr="00146C93">
        <w:rPr>
          <w:rFonts w:ascii="Times New Roman" w:hAnsi="Times New Roman" w:cs="Times New Roman"/>
        </w:rPr>
        <w:t xml:space="preserve">, </w:t>
      </w:r>
      <w:r w:rsidRPr="00146C93">
        <w:rPr>
          <w:rFonts w:ascii="Times New Roman" w:hAnsi="Times New Roman" w:cs="Times New Roman"/>
          <w:i/>
          <w:iCs/>
        </w:rPr>
        <w:t>5</w:t>
      </w:r>
      <w:r w:rsidRPr="00146C93">
        <w:rPr>
          <w:rFonts w:ascii="Times New Roman" w:hAnsi="Times New Roman" w:cs="Times New Roman"/>
        </w:rPr>
        <w:t>, e3688. https://doi.org/10.7717/peerj.3688</w:t>
      </w:r>
    </w:p>
    <w:p w14:paraId="042E4FA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Huitzil, S., Sandoval-Motta, S., Frank, A., &amp; Aldana, M. (2018). Modeling the Role of the Microbiome in Evolution. </w:t>
      </w:r>
      <w:r w:rsidRPr="00146C93">
        <w:rPr>
          <w:rFonts w:ascii="Times New Roman" w:hAnsi="Times New Roman" w:cs="Times New Roman"/>
          <w:i/>
          <w:iCs/>
        </w:rPr>
        <w:t>Frontiers in Physiology</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 https://doi.org/10.3389/fphys.2018.01836</w:t>
      </w:r>
    </w:p>
    <w:p w14:paraId="7FB3818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Hurlbert, S. H. (1971). The Nonconcept of Species Diversity: A Critique and Alternative Parameters. </w:t>
      </w:r>
      <w:r w:rsidRPr="00146C93">
        <w:rPr>
          <w:rFonts w:ascii="Times New Roman" w:hAnsi="Times New Roman" w:cs="Times New Roman"/>
          <w:i/>
          <w:iCs/>
        </w:rPr>
        <w:t>Ecology</w:t>
      </w:r>
      <w:r w:rsidRPr="00146C93">
        <w:rPr>
          <w:rFonts w:ascii="Times New Roman" w:hAnsi="Times New Roman" w:cs="Times New Roman"/>
        </w:rPr>
        <w:t xml:space="preserve">, </w:t>
      </w:r>
      <w:r w:rsidRPr="00146C93">
        <w:rPr>
          <w:rFonts w:ascii="Times New Roman" w:hAnsi="Times New Roman" w:cs="Times New Roman"/>
          <w:i/>
          <w:iCs/>
        </w:rPr>
        <w:t>52</w:t>
      </w:r>
      <w:r w:rsidRPr="00146C93">
        <w:rPr>
          <w:rFonts w:ascii="Times New Roman" w:hAnsi="Times New Roman" w:cs="Times New Roman"/>
        </w:rPr>
        <w:t>(4), 577–586. https://doi.org/10.2307/1934145</w:t>
      </w:r>
    </w:p>
    <w:p w14:paraId="247DF90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Jackrel, S. L., Schmidt, K. C., Cardinale, B. J., &amp; Denef, V. J. (2020). Microbiomes Reduce Their Host’s Sensitivity to Interspecific Interactions. </w:t>
      </w:r>
      <w:r w:rsidRPr="00146C93">
        <w:rPr>
          <w:rFonts w:ascii="Times New Roman" w:hAnsi="Times New Roman" w:cs="Times New Roman"/>
          <w:i/>
          <w:iCs/>
        </w:rPr>
        <w:t>mBio</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(1). https://doi.org/10.1128/mBio.02657-19</w:t>
      </w:r>
    </w:p>
    <w:p w14:paraId="0FC776A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Jani, A. J., &amp; Briggs, C. J. (2014). The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disturbs the frog skin microbiome during a natural epidemic and experimental infection.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111</w:t>
      </w:r>
      <w:r w:rsidRPr="00146C93">
        <w:rPr>
          <w:rFonts w:ascii="Times New Roman" w:hAnsi="Times New Roman" w:cs="Times New Roman"/>
        </w:rPr>
        <w:t>(47), E5049–E5058. https://doi.org/10.1073/pnas.1412752111</w:t>
      </w:r>
    </w:p>
    <w:p w14:paraId="721FE13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Jani, A. J., Bushell, J., Arisdakessian, C. G., Belcaid, M., Boiano, D. M., Brown, C., &amp; Knapp, R. A. (2021). The amphibian microbiome exhibits poor resilience following pathogen-induced disturbance.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15</w:t>
      </w:r>
      <w:r w:rsidRPr="00146C93">
        <w:rPr>
          <w:rFonts w:ascii="Times New Roman" w:hAnsi="Times New Roman" w:cs="Times New Roman"/>
        </w:rPr>
        <w:t>(6), Article 6. https://doi.org/10.1038/s41396-020-00875-w</w:t>
      </w:r>
    </w:p>
    <w:p w14:paraId="4C0F370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Janssen, S., McDonald, D., Gonzalez, A., Navas-Molina, J. A., Jiang, L., Xu, Z. Z., Winker, K., Kado, D. M., Orwoll, E., Manary, M., Mirarab, S., &amp; Knight, R. (2018). Phylogenetic Placement of Exact Amplicon Sequences Improves Associations with Clinical Information. </w:t>
      </w:r>
      <w:r w:rsidRPr="00146C93">
        <w:rPr>
          <w:rFonts w:ascii="Times New Roman" w:hAnsi="Times New Roman" w:cs="Times New Roman"/>
          <w:i/>
          <w:iCs/>
        </w:rPr>
        <w:t>mSystems</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(3), e00021-18. https://doi.org/10.1128/mSystems.00021-18</w:t>
      </w:r>
    </w:p>
    <w:p w14:paraId="7EBE9E6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Janzen, D. H. (1980). </w:t>
      </w:r>
      <w:r>
        <w:rPr>
          <w:rFonts w:ascii="Times New Roman" w:hAnsi="Times New Roman" w:cs="Times New Roman"/>
        </w:rPr>
        <w:t>When is it co-evolution</w:t>
      </w:r>
      <w:r w:rsidRPr="00146C93">
        <w:rPr>
          <w:rFonts w:ascii="Times New Roman" w:hAnsi="Times New Roman" w:cs="Times New Roman"/>
        </w:rPr>
        <w:t xml:space="preserve">? </w:t>
      </w:r>
      <w:r w:rsidRPr="00146C93">
        <w:rPr>
          <w:rFonts w:ascii="Times New Roman" w:hAnsi="Times New Roman" w:cs="Times New Roman"/>
          <w:i/>
          <w:iCs/>
        </w:rPr>
        <w:t>Evolution</w:t>
      </w:r>
      <w:r w:rsidRPr="00146C93">
        <w:rPr>
          <w:rFonts w:ascii="Times New Roman" w:hAnsi="Times New Roman" w:cs="Times New Roman"/>
        </w:rPr>
        <w:t xml:space="preserve">, </w:t>
      </w:r>
      <w:r w:rsidRPr="00146C93">
        <w:rPr>
          <w:rFonts w:ascii="Times New Roman" w:hAnsi="Times New Roman" w:cs="Times New Roman"/>
          <w:i/>
          <w:iCs/>
        </w:rPr>
        <w:t>34</w:t>
      </w:r>
      <w:r w:rsidRPr="00146C93">
        <w:rPr>
          <w:rFonts w:ascii="Times New Roman" w:hAnsi="Times New Roman" w:cs="Times New Roman"/>
        </w:rPr>
        <w:t>, 611–612.</w:t>
      </w:r>
    </w:p>
    <w:p w14:paraId="71CF71E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Jiménez, R. R., Alvarado, G., Sandoval, J., &amp; Sommer, S. (2020). Habitat disturbance influences the skin microbiome of a rediscovered neotropical-montane frog. </w:t>
      </w:r>
      <w:r w:rsidRPr="00146C93">
        <w:rPr>
          <w:rFonts w:ascii="Times New Roman" w:hAnsi="Times New Roman" w:cs="Times New Roman"/>
          <w:i/>
          <w:iCs/>
        </w:rPr>
        <w:t>BMC Microbiology</w:t>
      </w:r>
      <w:r w:rsidRPr="00146C93">
        <w:rPr>
          <w:rFonts w:ascii="Times New Roman" w:hAnsi="Times New Roman" w:cs="Times New Roman"/>
        </w:rPr>
        <w:t xml:space="preserve">, </w:t>
      </w:r>
      <w:r w:rsidRPr="00146C93">
        <w:rPr>
          <w:rFonts w:ascii="Times New Roman" w:hAnsi="Times New Roman" w:cs="Times New Roman"/>
          <w:i/>
          <w:iCs/>
        </w:rPr>
        <w:t>20</w:t>
      </w:r>
      <w:r w:rsidRPr="00146C93">
        <w:rPr>
          <w:rFonts w:ascii="Times New Roman" w:hAnsi="Times New Roman" w:cs="Times New Roman"/>
        </w:rPr>
        <w:t>(1), 292. https://doi.org/10.1186/s12866-020-01979-1</w:t>
      </w:r>
    </w:p>
    <w:p w14:paraId="3E51129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Jiménez, R. R., Carfagno, A., Linhoff, L., Gratwicke, B., Woodhams, D. C., Chafran, L. S., Bletz, M. C., Bishop, B., &amp; Muletz-Wolz, C. R. (2022). Inhibitory Bacterial Diversity and Mucosome Function Differentiate Susceptibility of Appalachian Salamanders to Chytrid Fungal Infection. </w:t>
      </w:r>
      <w:r w:rsidRPr="00146C93">
        <w:rPr>
          <w:rFonts w:ascii="Times New Roman" w:hAnsi="Times New Roman" w:cs="Times New Roman"/>
          <w:i/>
          <w:iCs/>
        </w:rPr>
        <w:t>Applied and Environmental Microbiology</w:t>
      </w:r>
      <w:r w:rsidRPr="00146C93">
        <w:rPr>
          <w:rFonts w:ascii="Times New Roman" w:hAnsi="Times New Roman" w:cs="Times New Roman"/>
        </w:rPr>
        <w:t xml:space="preserve">, </w:t>
      </w:r>
      <w:r w:rsidRPr="00146C93">
        <w:rPr>
          <w:rFonts w:ascii="Times New Roman" w:hAnsi="Times New Roman" w:cs="Times New Roman"/>
          <w:i/>
          <w:iCs/>
        </w:rPr>
        <w:t>88</w:t>
      </w:r>
      <w:r w:rsidRPr="00146C93">
        <w:rPr>
          <w:rFonts w:ascii="Times New Roman" w:hAnsi="Times New Roman" w:cs="Times New Roman"/>
        </w:rPr>
        <w:t>(8), e01818-21. https://doi.org/10.1128/aem.01818-21</w:t>
      </w:r>
    </w:p>
    <w:p w14:paraId="47421D5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Jiménez, R. R., &amp; Sommer, S. (2016). The amphibian microbiome: Natural range of variation, pathogenic dysbiosis, and role in conservation. </w:t>
      </w:r>
      <w:r w:rsidRPr="00146C93">
        <w:rPr>
          <w:rFonts w:ascii="Times New Roman" w:hAnsi="Times New Roman" w:cs="Times New Roman"/>
          <w:i/>
          <w:iCs/>
        </w:rPr>
        <w:t>Biodiversity and Conservation</w:t>
      </w:r>
      <w:r w:rsidRPr="00146C93">
        <w:rPr>
          <w:rFonts w:ascii="Times New Roman" w:hAnsi="Times New Roman" w:cs="Times New Roman"/>
        </w:rPr>
        <w:t xml:space="preserve">, </w:t>
      </w:r>
      <w:r w:rsidRPr="00146C93">
        <w:rPr>
          <w:rFonts w:ascii="Times New Roman" w:hAnsi="Times New Roman" w:cs="Times New Roman"/>
          <w:i/>
          <w:iCs/>
        </w:rPr>
        <w:t>26</w:t>
      </w:r>
      <w:r w:rsidRPr="00146C93">
        <w:rPr>
          <w:rFonts w:ascii="Times New Roman" w:hAnsi="Times New Roman" w:cs="Times New Roman"/>
        </w:rPr>
        <w:t>(4), 763–786. https://doi.org/10.1007/s10531-016-1272-x</w:t>
      </w:r>
    </w:p>
    <w:p w14:paraId="4E6B81B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Jongsma, G., Empey, M., Smith, C., Bennett, A., &amp; McAlpine, D. (2019). High prevalence of the amphibian pathogen </w:t>
      </w:r>
      <w:r w:rsidRPr="00F45682">
        <w:rPr>
          <w:rFonts w:ascii="Times New Roman" w:hAnsi="Times New Roman" w:cs="Times New Roman"/>
          <w:i/>
          <w:iCs/>
        </w:rPr>
        <w:t xml:space="preserve">Batrachochytrium dendrobatidis </w:t>
      </w:r>
      <w:r w:rsidRPr="00146C93">
        <w:rPr>
          <w:rFonts w:ascii="Times New Roman" w:hAnsi="Times New Roman" w:cs="Times New Roman"/>
        </w:rPr>
        <w:t xml:space="preserve">in plethodontid salamanders in protected areas in New Brunswick, Canada. </w:t>
      </w:r>
      <w:r w:rsidRPr="00146C93">
        <w:rPr>
          <w:rFonts w:ascii="Times New Roman" w:hAnsi="Times New Roman" w:cs="Times New Roman"/>
          <w:i/>
          <w:iCs/>
        </w:rPr>
        <w:t>Herpetological Conservation and Biology</w:t>
      </w:r>
      <w:r w:rsidRPr="00146C93">
        <w:rPr>
          <w:rFonts w:ascii="Times New Roman" w:hAnsi="Times New Roman" w:cs="Times New Roman"/>
        </w:rPr>
        <w:t xml:space="preserve">, </w:t>
      </w:r>
      <w:r w:rsidRPr="00146C93">
        <w:rPr>
          <w:rFonts w:ascii="Times New Roman" w:hAnsi="Times New Roman" w:cs="Times New Roman"/>
          <w:i/>
          <w:iCs/>
        </w:rPr>
        <w:t>14</w:t>
      </w:r>
      <w:r w:rsidRPr="00146C93">
        <w:rPr>
          <w:rFonts w:ascii="Times New Roman" w:hAnsi="Times New Roman" w:cs="Times New Roman"/>
        </w:rPr>
        <w:t>, 91–96.</w:t>
      </w:r>
    </w:p>
    <w:p w14:paraId="0D5B584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Jost, L. (2006). Entropy and diversity. </w:t>
      </w:r>
      <w:r w:rsidRPr="00146C93">
        <w:rPr>
          <w:rFonts w:ascii="Times New Roman" w:hAnsi="Times New Roman" w:cs="Times New Roman"/>
          <w:i/>
          <w:iCs/>
        </w:rPr>
        <w:t>Oikos</w:t>
      </w:r>
      <w:r w:rsidRPr="00146C93">
        <w:rPr>
          <w:rFonts w:ascii="Times New Roman" w:hAnsi="Times New Roman" w:cs="Times New Roman"/>
        </w:rPr>
        <w:t xml:space="preserve">, </w:t>
      </w:r>
      <w:r w:rsidRPr="00146C93">
        <w:rPr>
          <w:rFonts w:ascii="Times New Roman" w:hAnsi="Times New Roman" w:cs="Times New Roman"/>
          <w:i/>
          <w:iCs/>
        </w:rPr>
        <w:t>113</w:t>
      </w:r>
      <w:r w:rsidRPr="00146C93">
        <w:rPr>
          <w:rFonts w:ascii="Times New Roman" w:hAnsi="Times New Roman" w:cs="Times New Roman"/>
        </w:rPr>
        <w:t>(2), 363–375. https://doi.org/10.1111/j.2006.0030-1299.14714.x</w:t>
      </w:r>
    </w:p>
    <w:p w14:paraId="0455F0F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Jost, L. (2007). Partitioning Diversity into Independent Alpha and Beta Components. </w:t>
      </w:r>
      <w:r w:rsidRPr="00146C93">
        <w:rPr>
          <w:rFonts w:ascii="Times New Roman" w:hAnsi="Times New Roman" w:cs="Times New Roman"/>
          <w:i/>
          <w:iCs/>
        </w:rPr>
        <w:t>Ecology</w:t>
      </w:r>
      <w:r w:rsidRPr="00146C93">
        <w:rPr>
          <w:rFonts w:ascii="Times New Roman" w:hAnsi="Times New Roman" w:cs="Times New Roman"/>
        </w:rPr>
        <w:t xml:space="preserve">, </w:t>
      </w:r>
      <w:r w:rsidRPr="00146C93">
        <w:rPr>
          <w:rFonts w:ascii="Times New Roman" w:hAnsi="Times New Roman" w:cs="Times New Roman"/>
          <w:i/>
          <w:iCs/>
        </w:rPr>
        <w:t>88</w:t>
      </w:r>
      <w:r w:rsidRPr="00146C93">
        <w:rPr>
          <w:rFonts w:ascii="Times New Roman" w:hAnsi="Times New Roman" w:cs="Times New Roman"/>
        </w:rPr>
        <w:t>(10), 2427–2439.</w:t>
      </w:r>
    </w:p>
    <w:p w14:paraId="7008DE8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Kassambara, A. (2020). </w:t>
      </w:r>
      <w:r w:rsidRPr="00146C93">
        <w:rPr>
          <w:rFonts w:ascii="Times New Roman" w:hAnsi="Times New Roman" w:cs="Times New Roman"/>
          <w:i/>
          <w:iCs/>
        </w:rPr>
        <w:t>rstatix: Pipe-Friendly Framework for Basic Statistical Tests.</w:t>
      </w:r>
      <w:r w:rsidRPr="00146C93">
        <w:rPr>
          <w:rFonts w:ascii="Times New Roman" w:hAnsi="Times New Roman" w:cs="Times New Roman"/>
        </w:rPr>
        <w:t xml:space="preserve"> (R package version 0.6.0) [Computer software]. https://CRAN.R-project.org/package=rstatix</w:t>
      </w:r>
    </w:p>
    <w:p w14:paraId="1F4EF6B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Kassambara, Alboukadel. (2020). </w:t>
      </w:r>
      <w:r w:rsidRPr="00146C93">
        <w:rPr>
          <w:rFonts w:ascii="Times New Roman" w:hAnsi="Times New Roman" w:cs="Times New Roman"/>
          <w:i/>
          <w:iCs/>
        </w:rPr>
        <w:t>ggpubr: “ggplot2” Based Publication Ready Plots.</w:t>
      </w:r>
      <w:r w:rsidRPr="00146C93">
        <w:rPr>
          <w:rFonts w:ascii="Times New Roman" w:hAnsi="Times New Roman" w:cs="Times New Roman"/>
        </w:rPr>
        <w:t xml:space="preserve"> (0.4.0) [Computer software]. https://CRAN.R-project.org/package=ggpubr</w:t>
      </w:r>
    </w:p>
    <w:p w14:paraId="335B40A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Kohl, K. D. (2020). Ecological and evolutionary mechanisms underlying patterns of phylosymbiosis in host-associated microbial communities. </w:t>
      </w:r>
      <w:r w:rsidRPr="00146C93">
        <w:rPr>
          <w:rFonts w:ascii="Times New Roman" w:hAnsi="Times New Roman" w:cs="Times New Roman"/>
          <w:i/>
          <w:iCs/>
        </w:rPr>
        <w:t>Philosophical Transactions of the Royal Society B: Biological Sciences</w:t>
      </w:r>
      <w:r w:rsidRPr="00146C93">
        <w:rPr>
          <w:rFonts w:ascii="Times New Roman" w:hAnsi="Times New Roman" w:cs="Times New Roman"/>
        </w:rPr>
        <w:t xml:space="preserve">, </w:t>
      </w:r>
      <w:r w:rsidRPr="00146C93">
        <w:rPr>
          <w:rFonts w:ascii="Times New Roman" w:hAnsi="Times New Roman" w:cs="Times New Roman"/>
          <w:i/>
          <w:iCs/>
        </w:rPr>
        <w:t>375</w:t>
      </w:r>
      <w:r w:rsidRPr="00146C93">
        <w:rPr>
          <w:rFonts w:ascii="Times New Roman" w:hAnsi="Times New Roman" w:cs="Times New Roman"/>
        </w:rPr>
        <w:t>(1798), 20190251. https://doi.org/10.1098/rstb.2019.0251</w:t>
      </w:r>
    </w:p>
    <w:p w14:paraId="4ECC9B7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Kohl, K. D., Stengel, A., &amp; Dearing, M. D. (2016). Inoculation of tannin‐degrading bacteria into novel hosts increases performance on tannin‐rich diets. </w:t>
      </w:r>
      <w:r w:rsidRPr="00146C93">
        <w:rPr>
          <w:rFonts w:ascii="Times New Roman" w:hAnsi="Times New Roman" w:cs="Times New Roman"/>
          <w:i/>
          <w:iCs/>
        </w:rPr>
        <w:t>Environmental Microbiology</w:t>
      </w:r>
      <w:r w:rsidRPr="00146C93">
        <w:rPr>
          <w:rFonts w:ascii="Times New Roman" w:hAnsi="Times New Roman" w:cs="Times New Roman"/>
        </w:rPr>
        <w:t xml:space="preserve">, </w:t>
      </w:r>
      <w:r w:rsidRPr="00146C93">
        <w:rPr>
          <w:rFonts w:ascii="Times New Roman" w:hAnsi="Times New Roman" w:cs="Times New Roman"/>
          <w:i/>
          <w:iCs/>
        </w:rPr>
        <w:t>18</w:t>
      </w:r>
      <w:r w:rsidRPr="00146C93">
        <w:rPr>
          <w:rFonts w:ascii="Times New Roman" w:hAnsi="Times New Roman" w:cs="Times New Roman"/>
        </w:rPr>
        <w:t>(6), 1720–1729. https://doi.org/10.1111/1462-2920.12841</w:t>
      </w:r>
    </w:p>
    <w:p w14:paraId="1A74F8A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Kouete, M. T., Bletz, M. C., LaBumbard, B. C., Woodhams, D. C., &amp; Blackburn, D. C. (2023). Parental care contributes to vertical transmission of microbes in a skin-feeding and direct-developing caecilian. </w:t>
      </w:r>
      <w:r w:rsidRPr="00146C93">
        <w:rPr>
          <w:rFonts w:ascii="Times New Roman" w:hAnsi="Times New Roman" w:cs="Times New Roman"/>
          <w:i/>
          <w:iCs/>
        </w:rPr>
        <w:t>Animal Microbiome</w:t>
      </w:r>
      <w:r w:rsidRPr="00146C93">
        <w:rPr>
          <w:rFonts w:ascii="Times New Roman" w:hAnsi="Times New Roman" w:cs="Times New Roman"/>
        </w:rPr>
        <w:t xml:space="preserve">, </w:t>
      </w:r>
      <w:r w:rsidRPr="00146C93">
        <w:rPr>
          <w:rFonts w:ascii="Times New Roman" w:hAnsi="Times New Roman" w:cs="Times New Roman"/>
          <w:i/>
          <w:iCs/>
        </w:rPr>
        <w:t>5</w:t>
      </w:r>
      <w:r w:rsidRPr="00146C93">
        <w:rPr>
          <w:rFonts w:ascii="Times New Roman" w:hAnsi="Times New Roman" w:cs="Times New Roman"/>
        </w:rPr>
        <w:t>(1), 28. https://doi.org/10.1186/s42523-023-00243-x</w:t>
      </w:r>
    </w:p>
    <w:p w14:paraId="1474D38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Kozak, K. H. (2017). What Drives Variation in Plethodontid Salamander Species Richness over Space and Time? </w:t>
      </w:r>
      <w:r w:rsidRPr="00146C93">
        <w:rPr>
          <w:rFonts w:ascii="Times New Roman" w:hAnsi="Times New Roman" w:cs="Times New Roman"/>
          <w:i/>
          <w:iCs/>
        </w:rPr>
        <w:t>Herpetologica</w:t>
      </w:r>
      <w:r w:rsidRPr="00146C93">
        <w:rPr>
          <w:rFonts w:ascii="Times New Roman" w:hAnsi="Times New Roman" w:cs="Times New Roman"/>
        </w:rPr>
        <w:t xml:space="preserve">, </w:t>
      </w:r>
      <w:r w:rsidRPr="00146C93">
        <w:rPr>
          <w:rFonts w:ascii="Times New Roman" w:hAnsi="Times New Roman" w:cs="Times New Roman"/>
          <w:i/>
          <w:iCs/>
        </w:rPr>
        <w:t>73</w:t>
      </w:r>
      <w:r w:rsidRPr="00146C93">
        <w:rPr>
          <w:rFonts w:ascii="Times New Roman" w:hAnsi="Times New Roman" w:cs="Times New Roman"/>
        </w:rPr>
        <w:t>(3), 220–228.</w:t>
      </w:r>
    </w:p>
    <w:p w14:paraId="60E38AE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Kozak, K. H., &amp; Wiens, J. J. (2010). Niche Conservatism Drives Elevational Diversity Patterns in Appalachian Salamanders. </w:t>
      </w:r>
      <w:r w:rsidRPr="00146C93">
        <w:rPr>
          <w:rFonts w:ascii="Times New Roman" w:hAnsi="Times New Roman" w:cs="Times New Roman"/>
          <w:i/>
          <w:iCs/>
        </w:rPr>
        <w:t>The American Naturalist</w:t>
      </w:r>
      <w:r w:rsidRPr="00146C93">
        <w:rPr>
          <w:rFonts w:ascii="Times New Roman" w:hAnsi="Times New Roman" w:cs="Times New Roman"/>
        </w:rPr>
        <w:t xml:space="preserve">, </w:t>
      </w:r>
      <w:r w:rsidRPr="00146C93">
        <w:rPr>
          <w:rFonts w:ascii="Times New Roman" w:hAnsi="Times New Roman" w:cs="Times New Roman"/>
          <w:i/>
          <w:iCs/>
        </w:rPr>
        <w:t>176</w:t>
      </w:r>
      <w:r w:rsidRPr="00146C93">
        <w:rPr>
          <w:rFonts w:ascii="Times New Roman" w:hAnsi="Times New Roman" w:cs="Times New Roman"/>
        </w:rPr>
        <w:t>(1), 40–54. https://doi.org/10.1086/653031</w:t>
      </w:r>
    </w:p>
    <w:p w14:paraId="1453B35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Kruger, A. (2020). Frog Skin Microbiota Vary With Host Species and Environment but Not Chytrid Infection.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 https://www.frontiersin.org/articles/10.3389/fmicb.2020.01330</w:t>
      </w:r>
    </w:p>
    <w:p w14:paraId="6A1466D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Krynak, K. L., Burke, D. J., &amp; Benard, M. F. (2016). Landscape and water characteristics correlate with immune defense traits across Blanchard’s cricket frog (</w:t>
      </w:r>
      <w:r w:rsidRPr="00C34769">
        <w:rPr>
          <w:rFonts w:ascii="Times New Roman" w:hAnsi="Times New Roman" w:cs="Times New Roman"/>
          <w:i/>
          <w:iCs/>
        </w:rPr>
        <w:t>Acris blanchardi</w:t>
      </w:r>
      <w:r w:rsidRPr="00146C93">
        <w:rPr>
          <w:rFonts w:ascii="Times New Roman" w:hAnsi="Times New Roman" w:cs="Times New Roman"/>
        </w:rPr>
        <w:t xml:space="preserve">) populations. </w:t>
      </w:r>
      <w:r w:rsidRPr="00146C93">
        <w:rPr>
          <w:rFonts w:ascii="Times New Roman" w:hAnsi="Times New Roman" w:cs="Times New Roman"/>
          <w:i/>
          <w:iCs/>
        </w:rPr>
        <w:t>Biological Conservation</w:t>
      </w:r>
      <w:r w:rsidRPr="00146C93">
        <w:rPr>
          <w:rFonts w:ascii="Times New Roman" w:hAnsi="Times New Roman" w:cs="Times New Roman"/>
        </w:rPr>
        <w:t xml:space="preserve">, </w:t>
      </w:r>
      <w:r w:rsidRPr="00146C93">
        <w:rPr>
          <w:rFonts w:ascii="Times New Roman" w:hAnsi="Times New Roman" w:cs="Times New Roman"/>
          <w:i/>
          <w:iCs/>
        </w:rPr>
        <w:t>193</w:t>
      </w:r>
      <w:r w:rsidRPr="00146C93">
        <w:rPr>
          <w:rFonts w:ascii="Times New Roman" w:hAnsi="Times New Roman" w:cs="Times New Roman"/>
        </w:rPr>
        <w:t>, 153–167. https://doi.org/10.1016/j.biocon.2015.11.019</w:t>
      </w:r>
    </w:p>
    <w:p w14:paraId="2BB9926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Kueneman, J. G., Bletz, M. C., McKenzie, V. J., Becker, C. G., Joseph, M. B., Abarca, J. G., Archer, H., Arellano, A. L., Bataille, A., Becker, M., Belden, L. K., Crottini, A., Geffers, R., Haddad, C. F. B., Harris, R. N., Holden, W. M., Hughey, M., Jarek, M., Kearns, P. J., … Vences, M. (2019). Community richness of amphibian skin bacteria correlates with bioclimate at the global scale. </w:t>
      </w:r>
      <w:r w:rsidRPr="00146C93">
        <w:rPr>
          <w:rFonts w:ascii="Times New Roman" w:hAnsi="Times New Roman" w:cs="Times New Roman"/>
          <w:i/>
          <w:iCs/>
        </w:rPr>
        <w:t>Nature Ecology &amp; Evolution</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(3), Article 3. https://doi.org/10.1038/s41559-019-0798-1</w:t>
      </w:r>
    </w:p>
    <w:p w14:paraId="09326CE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Kueneman, J. G., Parfrey, L. W., Woodhams, D. C., Archer, H. M., Knight, R., &amp; McKenzie, V. J. (2014). The amphibian skin-associated microbiome across species, space and life history stages. </w:t>
      </w:r>
      <w:r w:rsidRPr="00146C93">
        <w:rPr>
          <w:rFonts w:ascii="Times New Roman" w:hAnsi="Times New Roman" w:cs="Times New Roman"/>
          <w:i/>
          <w:iCs/>
        </w:rPr>
        <w:t>Molecular Ecology</w:t>
      </w:r>
      <w:r w:rsidRPr="00146C93">
        <w:rPr>
          <w:rFonts w:ascii="Times New Roman" w:hAnsi="Times New Roman" w:cs="Times New Roman"/>
        </w:rPr>
        <w:t xml:space="preserve">, </w:t>
      </w:r>
      <w:r w:rsidRPr="00146C93">
        <w:rPr>
          <w:rFonts w:ascii="Times New Roman" w:hAnsi="Times New Roman" w:cs="Times New Roman"/>
          <w:i/>
          <w:iCs/>
        </w:rPr>
        <w:t>23</w:t>
      </w:r>
      <w:r w:rsidRPr="00146C93">
        <w:rPr>
          <w:rFonts w:ascii="Times New Roman" w:hAnsi="Times New Roman" w:cs="Times New Roman"/>
        </w:rPr>
        <w:t>(6), 1238–1250. https://doi.org/10.1111/mec.12510</w:t>
      </w:r>
    </w:p>
    <w:p w14:paraId="6E87F06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Lauer, A., Simon, M. A., Banning, J. L., André, E., Duncan, K., &amp; Harris, R. N. (2007). Common Cutaneous Bacteria from the Eastern Red-Backed Salamander Can Inhibit Pathogenic Fungi. </w:t>
      </w:r>
      <w:r w:rsidRPr="00146C93">
        <w:rPr>
          <w:rFonts w:ascii="Times New Roman" w:hAnsi="Times New Roman" w:cs="Times New Roman"/>
          <w:i/>
          <w:iCs/>
        </w:rPr>
        <w:t>Copeia</w:t>
      </w:r>
      <w:r w:rsidRPr="00146C93">
        <w:rPr>
          <w:rFonts w:ascii="Times New Roman" w:hAnsi="Times New Roman" w:cs="Times New Roman"/>
        </w:rPr>
        <w:t xml:space="preserve">, </w:t>
      </w:r>
      <w:r w:rsidRPr="00146C93">
        <w:rPr>
          <w:rFonts w:ascii="Times New Roman" w:hAnsi="Times New Roman" w:cs="Times New Roman"/>
          <w:i/>
          <w:iCs/>
        </w:rPr>
        <w:t>2007</w:t>
      </w:r>
      <w:r w:rsidRPr="00146C93">
        <w:rPr>
          <w:rFonts w:ascii="Times New Roman" w:hAnsi="Times New Roman" w:cs="Times New Roman"/>
        </w:rPr>
        <w:t>(3), 630–640. https://doi.org/10.1643/0045-8511(2007)2007[630:CCBFTE]2.0.CO;2</w:t>
      </w:r>
    </w:p>
    <w:p w14:paraId="701F1C4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Le Sage, E. H., LaBumbard, B. C., Reinert, L. K., Miller, B. T., Richards-Zawacki, C. L., Woodhams, D. C., &amp; Rollins-Smith, L. A. (2021). Preparatory immunity: Seasonality of mucosal skin defences and Batrachochytrium infections in Southern leopard frogs. </w:t>
      </w:r>
      <w:r w:rsidRPr="00146C93">
        <w:rPr>
          <w:rFonts w:ascii="Times New Roman" w:hAnsi="Times New Roman" w:cs="Times New Roman"/>
          <w:i/>
          <w:iCs/>
        </w:rPr>
        <w:t>Journal of Animal Ecology</w:t>
      </w:r>
      <w:r w:rsidRPr="00146C93">
        <w:rPr>
          <w:rFonts w:ascii="Times New Roman" w:hAnsi="Times New Roman" w:cs="Times New Roman"/>
        </w:rPr>
        <w:t xml:space="preserve">, </w:t>
      </w:r>
      <w:r w:rsidRPr="00146C93">
        <w:rPr>
          <w:rFonts w:ascii="Times New Roman" w:hAnsi="Times New Roman" w:cs="Times New Roman"/>
          <w:i/>
          <w:iCs/>
        </w:rPr>
        <w:t>90</w:t>
      </w:r>
      <w:r w:rsidRPr="00146C93">
        <w:rPr>
          <w:rFonts w:ascii="Times New Roman" w:hAnsi="Times New Roman" w:cs="Times New Roman"/>
        </w:rPr>
        <w:t>(2), 542–554. https://doi.org/10.1111/1365-2656.13386</w:t>
      </w:r>
    </w:p>
    <w:p w14:paraId="748D914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Lennon, J. T., &amp; Jones, S. E. (2011). Microbial seed banks: The ecological and evolutionary implications of dormancy. </w:t>
      </w:r>
      <w:r w:rsidRPr="00146C93">
        <w:rPr>
          <w:rFonts w:ascii="Times New Roman" w:hAnsi="Times New Roman" w:cs="Times New Roman"/>
          <w:i/>
          <w:iCs/>
        </w:rPr>
        <w:t>Nature Reviews Microbiology</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(2), Article 2. https://doi.org/10.1038/nrmicro2504</w:t>
      </w:r>
    </w:p>
    <w:p w14:paraId="760C6DB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Lewis, Z. R., Dorantes, J. A., &amp; Hanken, J. (2018). Expression of a novel surfactant protein gene is associated with sites of extrapulmonary respiration in a lungless salamander. </w:t>
      </w:r>
      <w:r w:rsidRPr="00146C93">
        <w:rPr>
          <w:rFonts w:ascii="Times New Roman" w:hAnsi="Times New Roman" w:cs="Times New Roman"/>
          <w:i/>
          <w:iCs/>
        </w:rPr>
        <w:t>Proceedings of the Royal Society B: Biological Sciences</w:t>
      </w:r>
      <w:r w:rsidRPr="00146C93">
        <w:rPr>
          <w:rFonts w:ascii="Times New Roman" w:hAnsi="Times New Roman" w:cs="Times New Roman"/>
        </w:rPr>
        <w:t xml:space="preserve">, </w:t>
      </w:r>
      <w:r w:rsidRPr="00146C93">
        <w:rPr>
          <w:rFonts w:ascii="Times New Roman" w:hAnsi="Times New Roman" w:cs="Times New Roman"/>
          <w:i/>
          <w:iCs/>
        </w:rPr>
        <w:t>285</w:t>
      </w:r>
      <w:r w:rsidRPr="00146C93">
        <w:rPr>
          <w:rFonts w:ascii="Times New Roman" w:hAnsi="Times New Roman" w:cs="Times New Roman"/>
        </w:rPr>
        <w:t>(1888). https://doi.org/10.1098/rspb.2018.1589</w:t>
      </w:r>
    </w:p>
    <w:p w14:paraId="55DA2CF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Lim, S. J., &amp; Bordenstein, S. R. (2020). An introduction to phylosymbiosis. </w:t>
      </w:r>
      <w:r w:rsidRPr="00146C93">
        <w:rPr>
          <w:rFonts w:ascii="Times New Roman" w:hAnsi="Times New Roman" w:cs="Times New Roman"/>
          <w:i/>
          <w:iCs/>
        </w:rPr>
        <w:t>Proceedings of the Royal Society B: Biological Sciences</w:t>
      </w:r>
      <w:r w:rsidRPr="00146C93">
        <w:rPr>
          <w:rFonts w:ascii="Times New Roman" w:hAnsi="Times New Roman" w:cs="Times New Roman"/>
        </w:rPr>
        <w:t xml:space="preserve">, </w:t>
      </w:r>
      <w:r w:rsidRPr="00146C93">
        <w:rPr>
          <w:rFonts w:ascii="Times New Roman" w:hAnsi="Times New Roman" w:cs="Times New Roman"/>
          <w:i/>
          <w:iCs/>
        </w:rPr>
        <w:t>287</w:t>
      </w:r>
      <w:r w:rsidRPr="00146C93">
        <w:rPr>
          <w:rFonts w:ascii="Times New Roman" w:hAnsi="Times New Roman" w:cs="Times New Roman"/>
        </w:rPr>
        <w:t>(1922), 20192900. https://doi.org/10.1098/rspb.2019.2900</w:t>
      </w:r>
    </w:p>
    <w:p w14:paraId="2DFB188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Lips, K. R., Diffendorfer, J., Iii, J. R. M., &amp; Sears, M. W. (2008). Riding the Wave: Reconciling the Roles of Disease and Climate Change in Amphibian Declines. </w:t>
      </w:r>
      <w:r w:rsidRPr="00146C93">
        <w:rPr>
          <w:rFonts w:ascii="Times New Roman" w:hAnsi="Times New Roman" w:cs="Times New Roman"/>
          <w:i/>
          <w:iCs/>
        </w:rPr>
        <w:t>PLOS Biology</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(3), e72. https://doi.org/10.1371/journal.pbio.0060072</w:t>
      </w:r>
    </w:p>
    <w:p w14:paraId="14E9D4D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Longo, A. V., Savage, A. E., Hewson, I., &amp; Zamudio, K. R. (2015). Seasonal and ontogenetic variation of skin microbial communities and relationships to natural disease dynamics in declining amphibians. </w:t>
      </w:r>
      <w:r w:rsidRPr="00146C93">
        <w:rPr>
          <w:rFonts w:ascii="Times New Roman" w:hAnsi="Times New Roman" w:cs="Times New Roman"/>
          <w:i/>
          <w:iCs/>
        </w:rPr>
        <w:t>Royal Society Open Science</w:t>
      </w:r>
      <w:r w:rsidRPr="00146C93">
        <w:rPr>
          <w:rFonts w:ascii="Times New Roman" w:hAnsi="Times New Roman" w:cs="Times New Roman"/>
        </w:rPr>
        <w:t xml:space="preserve">, </w:t>
      </w:r>
      <w:r w:rsidRPr="00146C93">
        <w:rPr>
          <w:rFonts w:ascii="Times New Roman" w:hAnsi="Times New Roman" w:cs="Times New Roman"/>
          <w:i/>
          <w:iCs/>
        </w:rPr>
        <w:t>2</w:t>
      </w:r>
      <w:r w:rsidRPr="00146C93">
        <w:rPr>
          <w:rFonts w:ascii="Times New Roman" w:hAnsi="Times New Roman" w:cs="Times New Roman"/>
        </w:rPr>
        <w:t>(7), 140377. https://doi.org/10.1098/rsos.140377</w:t>
      </w:r>
    </w:p>
    <w:p w14:paraId="6997A42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Loudon, A. H., Venkataraman, A., Van Treuren, W., Woodhams, D. C., Parfrey, L. W., McKenzie, V. J., Knight, R., Schmidt, T. M., &amp; Harris, R. N. (2016). Vertebrate Hosts as Islands: Dynamics of Selection, Immigration, Loss, Persistence, and Potential Function of Bacteria on Salamander Skin.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 https://doi.org/10.3389/fmicb.2016.00333</w:t>
      </w:r>
    </w:p>
    <w:p w14:paraId="7981811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Loudon, A. H., Woodhams, D. C., Parfrey, L. W., Archer, H., Knight, R., McKenzie, V., &amp; Harris, R. N. (2014). Microbial community dynamics and effect of environmental microbial reservoirs on red-backed salamanders (</w:t>
      </w:r>
      <w:r w:rsidRPr="00C34769">
        <w:rPr>
          <w:rFonts w:ascii="Times New Roman" w:hAnsi="Times New Roman" w:cs="Times New Roman"/>
          <w:i/>
          <w:iCs/>
        </w:rPr>
        <w:t>Plethodon cinereus</w:t>
      </w:r>
      <w:r w:rsidRPr="00146C93">
        <w:rPr>
          <w:rFonts w:ascii="Times New Roman" w:hAnsi="Times New Roman" w:cs="Times New Roman"/>
        </w:rPr>
        <w:t xml:space="preserve">).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(4), Article 4. https://doi.org/10.1038/ismej.2013.200</w:t>
      </w:r>
    </w:p>
    <w:p w14:paraId="7843865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Lozupone, C. A., Hamady, M., Kelley, S. T., &amp; Knight, R. (2007). Quantitative and Qualitative β Diversity Measures Lead to Different Insights into Factors That Structure Microbial Communities. </w:t>
      </w:r>
      <w:r w:rsidRPr="00146C93">
        <w:rPr>
          <w:rFonts w:ascii="Times New Roman" w:hAnsi="Times New Roman" w:cs="Times New Roman"/>
          <w:i/>
          <w:iCs/>
        </w:rPr>
        <w:t>Applied and Environmental Microbiology</w:t>
      </w:r>
      <w:r w:rsidRPr="00146C93">
        <w:rPr>
          <w:rFonts w:ascii="Times New Roman" w:hAnsi="Times New Roman" w:cs="Times New Roman"/>
        </w:rPr>
        <w:t xml:space="preserve">, </w:t>
      </w:r>
      <w:r w:rsidRPr="00146C93">
        <w:rPr>
          <w:rFonts w:ascii="Times New Roman" w:hAnsi="Times New Roman" w:cs="Times New Roman"/>
          <w:i/>
          <w:iCs/>
        </w:rPr>
        <w:t>73</w:t>
      </w:r>
      <w:r w:rsidRPr="00146C93">
        <w:rPr>
          <w:rFonts w:ascii="Times New Roman" w:hAnsi="Times New Roman" w:cs="Times New Roman"/>
        </w:rPr>
        <w:t>(5), 1576–1585. https://doi.org/10.1128/AEM.01996-06</w:t>
      </w:r>
    </w:p>
    <w:p w14:paraId="51865A4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Luedtke, J. A., Chanson, J., Neam, K., Hobin, L., Maciel, A. O., Catenazzi, A., Borzée, A., Hamidy, A., Aowphol, A., Jean, A., Sosa-Bartuano, Á., Fong G., A., de Silva, A., Fouquet, A., Angulo, A., Kidov, A. A., Muñoz Saravia, A., Diesmos, A. C., Tominaga, A., … Stuart, S. N. (2023). Ongoing declines for the world’s amphibians in the face of emerging threats. </w:t>
      </w:r>
      <w:r w:rsidRPr="00146C93">
        <w:rPr>
          <w:rFonts w:ascii="Times New Roman" w:hAnsi="Times New Roman" w:cs="Times New Roman"/>
          <w:i/>
          <w:iCs/>
        </w:rPr>
        <w:t>Nature</w:t>
      </w:r>
      <w:r w:rsidRPr="00146C93">
        <w:rPr>
          <w:rFonts w:ascii="Times New Roman" w:hAnsi="Times New Roman" w:cs="Times New Roman"/>
        </w:rPr>
        <w:t xml:space="preserve">, </w:t>
      </w:r>
      <w:r w:rsidRPr="00146C93">
        <w:rPr>
          <w:rFonts w:ascii="Times New Roman" w:hAnsi="Times New Roman" w:cs="Times New Roman"/>
          <w:i/>
          <w:iCs/>
        </w:rPr>
        <w:t>622</w:t>
      </w:r>
      <w:r w:rsidRPr="00146C93">
        <w:rPr>
          <w:rFonts w:ascii="Times New Roman" w:hAnsi="Times New Roman" w:cs="Times New Roman"/>
        </w:rPr>
        <w:t>(7982), Article 7982. https://doi.org/10.1038/s41586-023-06578-4</w:t>
      </w:r>
    </w:p>
    <w:p w14:paraId="2A41399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Margulis, L., &amp; Fester, R. (1991). </w:t>
      </w:r>
      <w:r w:rsidRPr="00146C93">
        <w:rPr>
          <w:rFonts w:ascii="Times New Roman" w:hAnsi="Times New Roman" w:cs="Times New Roman"/>
          <w:i/>
          <w:iCs/>
        </w:rPr>
        <w:t>Symbiosis as a source of evolutionary innovation: Speciation and morphogenesis</w:t>
      </w:r>
      <w:r w:rsidRPr="00146C93">
        <w:rPr>
          <w:rFonts w:ascii="Times New Roman" w:hAnsi="Times New Roman" w:cs="Times New Roman"/>
        </w:rPr>
        <w:t>. https://www.semanticscholar.org/paper/Symbiosis-as-a-source-of-evolutionary-innovation-%3A-Margulis-Fester/56f5c3b91ad5c3c44273f7e41bdbcf6a5cc25402</w:t>
      </w:r>
    </w:p>
    <w:p w14:paraId="234A543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Marshall, J. S., &amp; Bienenstock, J. (1994). The role of mast cells in inflammatory reactions of the airways, skin and intestine. </w:t>
      </w:r>
      <w:r w:rsidRPr="00146C93">
        <w:rPr>
          <w:rFonts w:ascii="Times New Roman" w:hAnsi="Times New Roman" w:cs="Times New Roman"/>
          <w:i/>
          <w:iCs/>
        </w:rPr>
        <w:t>Current Opinion in Immunology</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(6), 853–859. https://doi.org/10.1016/0952-7915(94)90004-3</w:t>
      </w:r>
    </w:p>
    <w:p w14:paraId="758E2C2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Martel, A., Blooi, M., Adriaensen, C., Van Rooij, P., Beukema, W., Fisher, M. C., Farrer, R. A., Schmidt, B. R., Tobler, U., Goka, K., Lips, K. R., Muletz, C., Zamudio, K. R., Bosch, J., Lötters, S., Wombwell, E., Garner, T. W. J., Cunningham, A. A., Spitzen-van der Sluijs, A., … Pasmans, F. (2014). Recent introduction of a chytrid fungus endangers Western Palearctic salamanders. </w:t>
      </w:r>
      <w:r w:rsidRPr="00146C93">
        <w:rPr>
          <w:rFonts w:ascii="Times New Roman" w:hAnsi="Times New Roman" w:cs="Times New Roman"/>
          <w:i/>
          <w:iCs/>
        </w:rPr>
        <w:t>Science (New York, N.Y.)</w:t>
      </w:r>
      <w:r w:rsidRPr="00146C93">
        <w:rPr>
          <w:rFonts w:ascii="Times New Roman" w:hAnsi="Times New Roman" w:cs="Times New Roman"/>
        </w:rPr>
        <w:t xml:space="preserve">, </w:t>
      </w:r>
      <w:r w:rsidRPr="00146C93">
        <w:rPr>
          <w:rFonts w:ascii="Times New Roman" w:hAnsi="Times New Roman" w:cs="Times New Roman"/>
          <w:i/>
          <w:iCs/>
        </w:rPr>
        <w:t>346</w:t>
      </w:r>
      <w:r w:rsidRPr="00146C93">
        <w:rPr>
          <w:rFonts w:ascii="Times New Roman" w:hAnsi="Times New Roman" w:cs="Times New Roman"/>
        </w:rPr>
        <w:t>(6209), 630–631. https://doi.org/10.1126/science.1258268</w:t>
      </w:r>
    </w:p>
    <w:p w14:paraId="6A3FDFE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Martin, M. (2011). Cutadapt removes adapter sequences from high-throughput sequencing reads. </w:t>
      </w:r>
      <w:r w:rsidRPr="00146C93">
        <w:rPr>
          <w:rFonts w:ascii="Times New Roman" w:hAnsi="Times New Roman" w:cs="Times New Roman"/>
          <w:i/>
          <w:iCs/>
        </w:rPr>
        <w:t>EMBnet.Journal</w:t>
      </w:r>
      <w:r w:rsidRPr="00146C93">
        <w:rPr>
          <w:rFonts w:ascii="Times New Roman" w:hAnsi="Times New Roman" w:cs="Times New Roman"/>
        </w:rPr>
        <w:t xml:space="preserve">, </w:t>
      </w:r>
      <w:r w:rsidRPr="00146C93">
        <w:rPr>
          <w:rFonts w:ascii="Times New Roman" w:hAnsi="Times New Roman" w:cs="Times New Roman"/>
          <w:i/>
          <w:iCs/>
        </w:rPr>
        <w:t>17</w:t>
      </w:r>
      <w:r w:rsidRPr="00146C93">
        <w:rPr>
          <w:rFonts w:ascii="Times New Roman" w:hAnsi="Times New Roman" w:cs="Times New Roman"/>
        </w:rPr>
        <w:t>(1), Article 1. https://doi.org/10.14806/ej.17.1.200</w:t>
      </w:r>
    </w:p>
    <w:p w14:paraId="2F7C982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Martínez, I., Maldonado-Gomez, M. X., Gomes-Neto, J. C., Kittana, H., Ding, H., Schmaltz, R., Joglekar, P., Cardona, R. J., Marsteller, N. L., Kembel, S. W., Benson, A. K., Peterson, D. A., Ramer-Tait, A. E., &amp; Walter, J. (2018). Experimental evaluation of the importance of colonization history in early-life gut microbiota assembly. </w:t>
      </w:r>
      <w:r w:rsidRPr="00146C93">
        <w:rPr>
          <w:rFonts w:ascii="Times New Roman" w:hAnsi="Times New Roman" w:cs="Times New Roman"/>
          <w:i/>
          <w:iCs/>
        </w:rPr>
        <w:t>eLife</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 e36521. https://doi.org/10.7554/eLife.36521</w:t>
      </w:r>
    </w:p>
    <w:p w14:paraId="59E6BD3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Martiny, A. C., Treseder, K., &amp; Pusch, G. (2013). Phylogenetic conservatism of functional traits in microorganisms.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(4), Article 4. https://doi.org/10.1038/ismej.2012.160</w:t>
      </w:r>
    </w:p>
    <w:p w14:paraId="03F653D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Martiny, J. B. H., Jones, S. E., Lennon, J. T., &amp; Martiny, A. C. (2015). Microbiomes in light of traits: A phylogenetic perspective. </w:t>
      </w:r>
      <w:r w:rsidRPr="00146C93">
        <w:rPr>
          <w:rFonts w:ascii="Times New Roman" w:hAnsi="Times New Roman" w:cs="Times New Roman"/>
          <w:i/>
          <w:iCs/>
        </w:rPr>
        <w:t>Science</w:t>
      </w:r>
      <w:r w:rsidRPr="00146C93">
        <w:rPr>
          <w:rFonts w:ascii="Times New Roman" w:hAnsi="Times New Roman" w:cs="Times New Roman"/>
        </w:rPr>
        <w:t xml:space="preserve">, </w:t>
      </w:r>
      <w:r w:rsidRPr="00146C93">
        <w:rPr>
          <w:rFonts w:ascii="Times New Roman" w:hAnsi="Times New Roman" w:cs="Times New Roman"/>
          <w:i/>
          <w:iCs/>
        </w:rPr>
        <w:t>350</w:t>
      </w:r>
      <w:r w:rsidRPr="00146C93">
        <w:rPr>
          <w:rFonts w:ascii="Times New Roman" w:hAnsi="Times New Roman" w:cs="Times New Roman"/>
        </w:rPr>
        <w:t>(6261), aac9323. https://doi.org/10.1126/science.aac9323</w:t>
      </w:r>
    </w:p>
    <w:p w14:paraId="1BFACC3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Mazel, F., Davis, K. M., Loudon, A., Kwong, W. K., Groussin, M., &amp; Parfrey, L. W. (2018). Is Host Filtering the Main Driver of Phylosymbiosis across the Tree of Life? </w:t>
      </w:r>
      <w:r w:rsidRPr="00146C93">
        <w:rPr>
          <w:rFonts w:ascii="Times New Roman" w:hAnsi="Times New Roman" w:cs="Times New Roman"/>
          <w:i/>
          <w:iCs/>
        </w:rPr>
        <w:t>mSystems</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(5), e00097-18. https://doi.org/10.1128/mSystems.00097-18</w:t>
      </w:r>
    </w:p>
    <w:p w14:paraId="7F79893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McFall-Ngai, M., Hadfield, M. G., Bosch, T. C. G., Carey, H. V., Domazet-Lošo, T., Douglas, A. E., Dubilier, N., Eberl, G., Fukami, T., Gilbert, S. F., Hentschel, U., King, N., Kjelleberg, S., Knoll, A. H., Kremer, N., Mazmanian, S. K., Metcalf, J. L., Nealson, K., Pierce, N. E., … Wernegreen, J. J. (2013). Animals in a bacterial world, a new imperative for the life sciences.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110</w:t>
      </w:r>
      <w:r w:rsidRPr="00146C93">
        <w:rPr>
          <w:rFonts w:ascii="Times New Roman" w:hAnsi="Times New Roman" w:cs="Times New Roman"/>
        </w:rPr>
        <w:t>(9), 3229–3236. https://doi.org/10.1073/pnas.1218525110</w:t>
      </w:r>
    </w:p>
    <w:p w14:paraId="7492BD8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McKenzie, V. J., Bowers, R. M., Fierer, N., Knight, R., &amp; Lauber, C. L. (2012). Co-habiting amphibian species harbor unique skin bacterial communities in wild populations.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(3), Article 3. https://doi.org/10.1038/ismej.2011.129</w:t>
      </w:r>
    </w:p>
    <w:p w14:paraId="3C7DD21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McMurdie, Paul J., &amp; Holmes, S. P. (2013). </w:t>
      </w:r>
      <w:r w:rsidRPr="00146C93">
        <w:rPr>
          <w:rFonts w:ascii="Times New Roman" w:hAnsi="Times New Roman" w:cs="Times New Roman"/>
          <w:i/>
          <w:iCs/>
        </w:rPr>
        <w:t>phyloseq: An R package for reproducible interactive analysis and graphics of microbiome census data.</w:t>
      </w:r>
      <w:r w:rsidRPr="00146C93">
        <w:rPr>
          <w:rFonts w:ascii="Times New Roman" w:hAnsi="Times New Roman" w:cs="Times New Roman"/>
        </w:rPr>
        <w:t xml:space="preserve"> [Computer software]. PLoS ONE 8(4):e61217</w:t>
      </w:r>
    </w:p>
    <w:p w14:paraId="41F275E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McTammany, M. E., Benfield, E. F., &amp; Webster, J. R. (2008). Effects of agriculture on wood breakdown and microbial biofilm respiration in southern Appalachian streams. </w:t>
      </w:r>
      <w:r w:rsidRPr="00146C93">
        <w:rPr>
          <w:rFonts w:ascii="Times New Roman" w:hAnsi="Times New Roman" w:cs="Times New Roman"/>
          <w:i/>
          <w:iCs/>
        </w:rPr>
        <w:t>Freshwater Biology, Vol. 53: 842-854</w:t>
      </w:r>
      <w:r w:rsidRPr="00146C93">
        <w:rPr>
          <w:rFonts w:ascii="Times New Roman" w:hAnsi="Times New Roman" w:cs="Times New Roman"/>
        </w:rPr>
        <w:t>. https://doi.org/10.1111/j.1365-2427.2007.01936.x</w:t>
      </w:r>
    </w:p>
    <w:p w14:paraId="0DA30BA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Meng, P., Yang, S., Shen, C., Jiang, K., Rong, M., &amp; Lai, R. (2013). The First Salamander Defensin Antimicrobial Peptide.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(12), e83044. https://doi.org/10.1371/journal.pone.0083044</w:t>
      </w:r>
    </w:p>
    <w:p w14:paraId="430381A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Meyer, E., Cramp, R., Bernal, M., &amp; Franklin, C. (2012). Changes in cutaneous microbial abundance with sloughing: Possible implications for infection and disease in amphibians. </w:t>
      </w:r>
      <w:r w:rsidRPr="00146C93">
        <w:rPr>
          <w:rFonts w:ascii="Times New Roman" w:hAnsi="Times New Roman" w:cs="Times New Roman"/>
          <w:i/>
          <w:iCs/>
        </w:rPr>
        <w:t>Diseases of Aquatic Organisms</w:t>
      </w:r>
      <w:r w:rsidRPr="00146C93">
        <w:rPr>
          <w:rFonts w:ascii="Times New Roman" w:hAnsi="Times New Roman" w:cs="Times New Roman"/>
        </w:rPr>
        <w:t xml:space="preserve">, </w:t>
      </w:r>
      <w:r w:rsidRPr="00146C93">
        <w:rPr>
          <w:rFonts w:ascii="Times New Roman" w:hAnsi="Times New Roman" w:cs="Times New Roman"/>
          <w:i/>
          <w:iCs/>
        </w:rPr>
        <w:t>101</w:t>
      </w:r>
      <w:r w:rsidRPr="00146C93">
        <w:rPr>
          <w:rFonts w:ascii="Times New Roman" w:hAnsi="Times New Roman" w:cs="Times New Roman"/>
        </w:rPr>
        <w:t>(3), 235–242. https://doi.org/10.3354/dao02523</w:t>
      </w:r>
    </w:p>
    <w:p w14:paraId="7891B80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Moran, N. A., &amp; Degnan, P. H. (2006). Functional genomics of </w:t>
      </w:r>
      <w:r w:rsidRPr="00146C93">
        <w:rPr>
          <w:rFonts w:ascii="Times New Roman" w:hAnsi="Times New Roman" w:cs="Times New Roman"/>
          <w:i/>
          <w:iCs/>
        </w:rPr>
        <w:t>Buchnera</w:t>
      </w:r>
      <w:r w:rsidRPr="00146C93">
        <w:rPr>
          <w:rFonts w:ascii="Times New Roman" w:hAnsi="Times New Roman" w:cs="Times New Roman"/>
        </w:rPr>
        <w:t xml:space="preserve"> and the ecology of aphid hosts. </w:t>
      </w:r>
      <w:r w:rsidRPr="00146C93">
        <w:rPr>
          <w:rFonts w:ascii="Times New Roman" w:hAnsi="Times New Roman" w:cs="Times New Roman"/>
          <w:i/>
          <w:iCs/>
        </w:rPr>
        <w:t>Molecular Ecology</w:t>
      </w:r>
      <w:r w:rsidRPr="00146C93">
        <w:rPr>
          <w:rFonts w:ascii="Times New Roman" w:hAnsi="Times New Roman" w:cs="Times New Roman"/>
        </w:rPr>
        <w:t xml:space="preserve">, </w:t>
      </w:r>
      <w:r w:rsidRPr="00146C93">
        <w:rPr>
          <w:rFonts w:ascii="Times New Roman" w:hAnsi="Times New Roman" w:cs="Times New Roman"/>
          <w:i/>
          <w:iCs/>
        </w:rPr>
        <w:t>15</w:t>
      </w:r>
      <w:r w:rsidRPr="00146C93">
        <w:rPr>
          <w:rFonts w:ascii="Times New Roman" w:hAnsi="Times New Roman" w:cs="Times New Roman"/>
        </w:rPr>
        <w:t>(5), 1251–1261. https://doi.org/10.1111/j.1365-294X.2005.02744.x</w:t>
      </w:r>
    </w:p>
    <w:p w14:paraId="094E1F5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Moran, N. A., &amp; Sloan, D. B. (2015). The Hologenome Concept: Helpful or Hollow? </w:t>
      </w:r>
      <w:r w:rsidRPr="00146C93">
        <w:rPr>
          <w:rFonts w:ascii="Times New Roman" w:hAnsi="Times New Roman" w:cs="Times New Roman"/>
          <w:i/>
          <w:iCs/>
        </w:rPr>
        <w:t>PLOS Biology</w:t>
      </w:r>
      <w:r w:rsidRPr="00146C93">
        <w:rPr>
          <w:rFonts w:ascii="Times New Roman" w:hAnsi="Times New Roman" w:cs="Times New Roman"/>
        </w:rPr>
        <w:t xml:space="preserve">, </w:t>
      </w:r>
      <w:r w:rsidRPr="00146C93">
        <w:rPr>
          <w:rFonts w:ascii="Times New Roman" w:hAnsi="Times New Roman" w:cs="Times New Roman"/>
          <w:i/>
          <w:iCs/>
        </w:rPr>
        <w:t>13</w:t>
      </w:r>
      <w:r w:rsidRPr="00146C93">
        <w:rPr>
          <w:rFonts w:ascii="Times New Roman" w:hAnsi="Times New Roman" w:cs="Times New Roman"/>
        </w:rPr>
        <w:t>(12), e1002311. https://doi.org/10.1371/journal.pbio.1002311</w:t>
      </w:r>
    </w:p>
    <w:p w14:paraId="1515200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Muletz, C. R., Caruso, N. M., Fleischer, R. C., McDiarmid, R. W., &amp; Lips, K. R. (2014). Unexpected Rarity of the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in Appalachian Plethodon Salamanders: 1957–2011.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(8), e103728. https://doi.org/10.1371/journal.pone.0103728</w:t>
      </w:r>
    </w:p>
    <w:p w14:paraId="6679803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Muletz, C. R., Myers, J. M., Domangue, R. J., Herrick, J. B., &amp; Harris, R. N. (2012a). Soil bioaugmentation with amphibian cutaneous bacteria protects amphibian hosts from infection by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Biological Conservation</w:t>
      </w:r>
      <w:r w:rsidRPr="00146C93">
        <w:rPr>
          <w:rFonts w:ascii="Times New Roman" w:hAnsi="Times New Roman" w:cs="Times New Roman"/>
        </w:rPr>
        <w:t xml:space="preserve">, </w:t>
      </w:r>
      <w:r w:rsidRPr="00146C93">
        <w:rPr>
          <w:rFonts w:ascii="Times New Roman" w:hAnsi="Times New Roman" w:cs="Times New Roman"/>
          <w:i/>
          <w:iCs/>
        </w:rPr>
        <w:t>152</w:t>
      </w:r>
      <w:r w:rsidRPr="00146C93">
        <w:rPr>
          <w:rFonts w:ascii="Times New Roman" w:hAnsi="Times New Roman" w:cs="Times New Roman"/>
        </w:rPr>
        <w:t>, 119–126. https://doi.org/10.1016/j.biocon.2012.03.022</w:t>
      </w:r>
    </w:p>
    <w:p w14:paraId="5E3853C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Muletz, C. R., Myers, J. M., Domangue, R. J., Herrick, J. B., &amp; Harris, R. N. (2012b). Soil bioaugmentation with amphibian cutaneous bacteria protects amphibian hosts from infection by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Biological Conservation</w:t>
      </w:r>
      <w:r w:rsidRPr="00146C93">
        <w:rPr>
          <w:rFonts w:ascii="Times New Roman" w:hAnsi="Times New Roman" w:cs="Times New Roman"/>
        </w:rPr>
        <w:t xml:space="preserve">, </w:t>
      </w:r>
      <w:r w:rsidRPr="00146C93">
        <w:rPr>
          <w:rFonts w:ascii="Times New Roman" w:hAnsi="Times New Roman" w:cs="Times New Roman"/>
          <w:i/>
          <w:iCs/>
        </w:rPr>
        <w:t>152</w:t>
      </w:r>
      <w:r w:rsidRPr="00146C93">
        <w:rPr>
          <w:rFonts w:ascii="Times New Roman" w:hAnsi="Times New Roman" w:cs="Times New Roman"/>
        </w:rPr>
        <w:t>, 119–126. https://doi.org/10.1016/j.biocon.2012.03.022</w:t>
      </w:r>
    </w:p>
    <w:p w14:paraId="31F31A6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Murali, A., Bhargava, A., &amp; Wright, E. S. (2018). IDTAXA: A novel approach for accurate taxonomic classification of microbiome sequences. </w:t>
      </w:r>
      <w:r w:rsidRPr="00146C93">
        <w:rPr>
          <w:rFonts w:ascii="Times New Roman" w:hAnsi="Times New Roman" w:cs="Times New Roman"/>
          <w:i/>
          <w:iCs/>
        </w:rPr>
        <w:t>Microbiome</w:t>
      </w:r>
      <w:r w:rsidRPr="00146C93">
        <w:rPr>
          <w:rFonts w:ascii="Times New Roman" w:hAnsi="Times New Roman" w:cs="Times New Roman"/>
        </w:rPr>
        <w:t xml:space="preserve">, </w:t>
      </w:r>
      <w:r w:rsidRPr="00146C93">
        <w:rPr>
          <w:rFonts w:ascii="Times New Roman" w:hAnsi="Times New Roman" w:cs="Times New Roman"/>
          <w:i/>
          <w:iCs/>
        </w:rPr>
        <w:t>6</w:t>
      </w:r>
      <w:r w:rsidRPr="00146C93">
        <w:rPr>
          <w:rFonts w:ascii="Times New Roman" w:hAnsi="Times New Roman" w:cs="Times New Roman"/>
        </w:rPr>
        <w:t>(1), 140. https://doi.org/10.1186/s40168-018-0521-5</w:t>
      </w:r>
    </w:p>
    <w:p w14:paraId="5648360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Myers, J. M., Ramsey, J. P., Blackman, A. L., Nichols, A. E., Minbiole, K. P. C., &amp; Harris, R. N. (2012). Synergistic Inhibition of the Lethal Fungal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The Combined Effect of Symbiotic Bacterial Metabolites and Antimicrobial Peptides of the Frog Rana muscosa. </w:t>
      </w:r>
      <w:r w:rsidRPr="00146C93">
        <w:rPr>
          <w:rFonts w:ascii="Times New Roman" w:hAnsi="Times New Roman" w:cs="Times New Roman"/>
          <w:i/>
          <w:iCs/>
        </w:rPr>
        <w:t>Journal of Chemical Ecology</w:t>
      </w:r>
      <w:r w:rsidRPr="00146C93">
        <w:rPr>
          <w:rFonts w:ascii="Times New Roman" w:hAnsi="Times New Roman" w:cs="Times New Roman"/>
        </w:rPr>
        <w:t xml:space="preserve">, </w:t>
      </w:r>
      <w:r w:rsidRPr="00146C93">
        <w:rPr>
          <w:rFonts w:ascii="Times New Roman" w:hAnsi="Times New Roman" w:cs="Times New Roman"/>
          <w:i/>
          <w:iCs/>
        </w:rPr>
        <w:t>38</w:t>
      </w:r>
      <w:r w:rsidRPr="00146C93">
        <w:rPr>
          <w:rFonts w:ascii="Times New Roman" w:hAnsi="Times New Roman" w:cs="Times New Roman"/>
        </w:rPr>
        <w:t>(8), 958–965. https://doi.org/10.1007/s10886-012-0170-2</w:t>
      </w:r>
    </w:p>
    <w:p w14:paraId="2B4DCA9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Nemergut, D. R., Schmidt, S. K., Fukami, T., O’Neill, S. P., Bilinski, T. M., Stanish, L. F., Knelman, J. E., Darcy, J. L., Lynch, R. C., Wickey, P., &amp; Ferrenberg, S. (2013). Patterns and Processes of Microbial Community Assembly. </w:t>
      </w:r>
      <w:r w:rsidRPr="00146C93">
        <w:rPr>
          <w:rFonts w:ascii="Times New Roman" w:hAnsi="Times New Roman" w:cs="Times New Roman"/>
          <w:i/>
          <w:iCs/>
        </w:rPr>
        <w:t>Microbiology and Molecular Biology Reviews</w:t>
      </w:r>
      <w:r w:rsidRPr="00146C93">
        <w:rPr>
          <w:rFonts w:ascii="Times New Roman" w:hAnsi="Times New Roman" w:cs="Times New Roman"/>
        </w:rPr>
        <w:t xml:space="preserve">, </w:t>
      </w:r>
      <w:r w:rsidRPr="00146C93">
        <w:rPr>
          <w:rFonts w:ascii="Times New Roman" w:hAnsi="Times New Roman" w:cs="Times New Roman"/>
          <w:i/>
          <w:iCs/>
        </w:rPr>
        <w:t>77</w:t>
      </w:r>
      <w:r w:rsidRPr="00146C93">
        <w:rPr>
          <w:rFonts w:ascii="Times New Roman" w:hAnsi="Times New Roman" w:cs="Times New Roman"/>
        </w:rPr>
        <w:t>(3), 342–356. https://doi.org/10.1128/MMBR.00051-12</w:t>
      </w:r>
    </w:p>
    <w:p w14:paraId="6261DC1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Ning, D. (2022). </w:t>
      </w:r>
      <w:r w:rsidRPr="00146C93">
        <w:rPr>
          <w:rFonts w:ascii="Times New Roman" w:hAnsi="Times New Roman" w:cs="Times New Roman"/>
          <w:i/>
          <w:iCs/>
        </w:rPr>
        <w:t>iCAMP: Infer Community Assembly Mechanisms by Phylogenetic-Bin-Based Null Model Analysis</w:t>
      </w:r>
      <w:r w:rsidRPr="00146C93">
        <w:rPr>
          <w:rFonts w:ascii="Times New Roman" w:hAnsi="Times New Roman" w:cs="Times New Roman"/>
        </w:rPr>
        <w:t xml:space="preserve"> (1.5.12) [Computer software]. https://cran.r-project.org/web/packages/iCAMP/index.html</w:t>
      </w:r>
    </w:p>
    <w:p w14:paraId="5F456B5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Ning, D., Yuan, M., Wu, L., Zhang, Y., Guo, X., Zhou, X., Yang, Y., Arkin, A. P., Firestone, M. K., &amp; Zhou, J. (2020). A quantitative framework reveals ecological drivers of grassland microbial community assembly in response to warming. </w:t>
      </w:r>
      <w:r w:rsidRPr="00146C93">
        <w:rPr>
          <w:rFonts w:ascii="Times New Roman" w:hAnsi="Times New Roman" w:cs="Times New Roman"/>
          <w:i/>
          <w:iCs/>
        </w:rPr>
        <w:t>Nature Communications</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(1), Article 1. https://doi.org/10.1038/s41467-020-18560-z</w:t>
      </w:r>
    </w:p>
    <w:p w14:paraId="0534EF8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Nussbaum, R. A., &amp; Wilkinson, M. (1995). A New Genus of Lungless Tetrapod: A Radically Divergent Caecilian (Amphibia: Gymnophiona). </w:t>
      </w:r>
      <w:r w:rsidRPr="00146C93">
        <w:rPr>
          <w:rFonts w:ascii="Times New Roman" w:hAnsi="Times New Roman" w:cs="Times New Roman"/>
          <w:i/>
          <w:iCs/>
        </w:rPr>
        <w:t>Proceedings: Biological Sciences</w:t>
      </w:r>
      <w:r w:rsidRPr="00146C93">
        <w:rPr>
          <w:rFonts w:ascii="Times New Roman" w:hAnsi="Times New Roman" w:cs="Times New Roman"/>
        </w:rPr>
        <w:t xml:space="preserve">, </w:t>
      </w:r>
      <w:r w:rsidRPr="00146C93">
        <w:rPr>
          <w:rFonts w:ascii="Times New Roman" w:hAnsi="Times New Roman" w:cs="Times New Roman"/>
          <w:i/>
          <w:iCs/>
        </w:rPr>
        <w:t>261</w:t>
      </w:r>
      <w:r w:rsidRPr="00146C93">
        <w:rPr>
          <w:rFonts w:ascii="Times New Roman" w:hAnsi="Times New Roman" w:cs="Times New Roman"/>
        </w:rPr>
        <w:t>(1362), 331–335.</w:t>
      </w:r>
    </w:p>
    <w:p w14:paraId="5AD5197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O’Brien, P. A., Webster, N. S., Miller, D. J., &amp; Bourne, D. G. (2019). Host-Microbe Coevolution: Applying Evidence from Model Systems to Complex Marine Invertebrate Holobionts. </w:t>
      </w:r>
      <w:r w:rsidRPr="00146C93">
        <w:rPr>
          <w:rFonts w:ascii="Times New Roman" w:hAnsi="Times New Roman" w:cs="Times New Roman"/>
          <w:i/>
          <w:iCs/>
        </w:rPr>
        <w:t>mBio</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(1), e02241-18, /mbio/10/1/mBio.02241-18.atom. https://doi.org/10.1128/mBio.02241-18</w:t>
      </w:r>
    </w:p>
    <w:p w14:paraId="3C3E5F1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O’Hara, E., Neves, A. L. A., Song, Y., &amp; Guan, L. L. (2020). The Role of the Gut Microbiome in Cattle Production and Health: Driver or Passenger? </w:t>
      </w:r>
      <w:r w:rsidRPr="00146C93">
        <w:rPr>
          <w:rFonts w:ascii="Times New Roman" w:hAnsi="Times New Roman" w:cs="Times New Roman"/>
          <w:i/>
          <w:iCs/>
        </w:rPr>
        <w:t>Annual Review of Animal Biosciences</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(1), 199–220. https://doi.org/10.1146/annurev-animal-021419-083952</w:t>
      </w:r>
    </w:p>
    <w:p w14:paraId="3FD1E68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Ohmer, M. E. B., Cramp, R. L., White, C. R., &amp; Franklin, C. E. (2015). Skin sloughing rate increases with chytrid fungus infection load in a susceptible amphibian. </w:t>
      </w:r>
      <w:r w:rsidRPr="00146C93">
        <w:rPr>
          <w:rFonts w:ascii="Times New Roman" w:hAnsi="Times New Roman" w:cs="Times New Roman"/>
          <w:i/>
          <w:iCs/>
        </w:rPr>
        <w:t>Functional Ecology</w:t>
      </w:r>
      <w:r w:rsidRPr="00146C93">
        <w:rPr>
          <w:rFonts w:ascii="Times New Roman" w:hAnsi="Times New Roman" w:cs="Times New Roman"/>
        </w:rPr>
        <w:t xml:space="preserve">, </w:t>
      </w:r>
      <w:r w:rsidRPr="00146C93">
        <w:rPr>
          <w:rFonts w:ascii="Times New Roman" w:hAnsi="Times New Roman" w:cs="Times New Roman"/>
          <w:i/>
          <w:iCs/>
        </w:rPr>
        <w:t>29</w:t>
      </w:r>
      <w:r w:rsidRPr="00146C93">
        <w:rPr>
          <w:rFonts w:ascii="Times New Roman" w:hAnsi="Times New Roman" w:cs="Times New Roman"/>
        </w:rPr>
        <w:t>(5), 674–682. https://doi.org/10.1111/1365-2435.12370</w:t>
      </w:r>
    </w:p>
    <w:p w14:paraId="7286346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Oksanen, J., Blanchet, G., Friendly, M., Legendre, P., McGlinn, P. R., O’Hara, R. B., Simpson, G. L., Solymos, P., Stevens, M. H. H., Szoecs, E., &amp; Wagner, H. (2019). </w:t>
      </w:r>
      <w:r w:rsidRPr="00146C93">
        <w:rPr>
          <w:rFonts w:ascii="Times New Roman" w:hAnsi="Times New Roman" w:cs="Times New Roman"/>
          <w:i/>
          <w:iCs/>
        </w:rPr>
        <w:t>vegan: Community Ecology Package.</w:t>
      </w:r>
      <w:r w:rsidRPr="00146C93">
        <w:rPr>
          <w:rFonts w:ascii="Times New Roman" w:hAnsi="Times New Roman" w:cs="Times New Roman"/>
        </w:rPr>
        <w:t xml:space="preserve"> (R package version 2.5-6) [Computer software]. https://CRAN.R-project.org/package=vegan</w:t>
      </w:r>
    </w:p>
    <w:p w14:paraId="2194CEA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Osborne, O., Jiménez, R., Byrne, A. Q., Gratwicke, B., Ellison, A., &amp; Muletz-Wolz, C. R. (2024, January 4). </w:t>
      </w:r>
      <w:r w:rsidRPr="00146C93">
        <w:rPr>
          <w:rFonts w:ascii="Times New Roman" w:hAnsi="Times New Roman" w:cs="Times New Roman"/>
          <w:i/>
          <w:iCs/>
        </w:rPr>
        <w:t>Phylosymbiosis drives the distribution of pathogen-protective bacteria in Appalachian salamanders</w:t>
      </w:r>
      <w:r w:rsidRPr="00146C93">
        <w:rPr>
          <w:rFonts w:ascii="Times New Roman" w:hAnsi="Times New Roman" w:cs="Times New Roman"/>
        </w:rPr>
        <w:t>. https://doi.org/10.21203/rs.3.rs-3773072/v1</w:t>
      </w:r>
    </w:p>
    <w:p w14:paraId="64C791F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Osburn, E. D., Miniat, C. F., Elliott, K. J., &amp; Barrett, J. E. (2021). Effects of Rhododendron removal on soil bacterial and fungal communities in southern Appalachian forests. </w:t>
      </w:r>
      <w:r w:rsidRPr="00146C93">
        <w:rPr>
          <w:rFonts w:ascii="Times New Roman" w:hAnsi="Times New Roman" w:cs="Times New Roman"/>
          <w:i/>
          <w:iCs/>
        </w:rPr>
        <w:t>Forest Ecology and Management</w:t>
      </w:r>
      <w:r w:rsidRPr="00146C93">
        <w:rPr>
          <w:rFonts w:ascii="Times New Roman" w:hAnsi="Times New Roman" w:cs="Times New Roman"/>
        </w:rPr>
        <w:t xml:space="preserve">, </w:t>
      </w:r>
      <w:r w:rsidRPr="00146C93">
        <w:rPr>
          <w:rFonts w:ascii="Times New Roman" w:hAnsi="Times New Roman" w:cs="Times New Roman"/>
          <w:i/>
          <w:iCs/>
        </w:rPr>
        <w:t>496</w:t>
      </w:r>
      <w:r w:rsidRPr="00146C93">
        <w:rPr>
          <w:rFonts w:ascii="Times New Roman" w:hAnsi="Times New Roman" w:cs="Times New Roman"/>
        </w:rPr>
        <w:t>, 119398. https://doi.org/10.1016/j.foreco.2021.119398</w:t>
      </w:r>
    </w:p>
    <w:p w14:paraId="573863C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Pawar, V. A., Pawar, P. R., Bhosale, A. M., &amp; Chavan, S. V. (2014). Effect of Rhizobium on Seed Germination and Growth of Plants. </w:t>
      </w:r>
      <w:r w:rsidRPr="00146C93">
        <w:rPr>
          <w:rFonts w:ascii="Times New Roman" w:hAnsi="Times New Roman" w:cs="Times New Roman"/>
          <w:i/>
          <w:iCs/>
        </w:rPr>
        <w:t>Journal of Academia and Industrial Research (JAIR)</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(2).</w:t>
      </w:r>
    </w:p>
    <w:p w14:paraId="2958FDC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Peacock, K. A. (2011). Symbiosis in Ecology and Evolution. In </w:t>
      </w:r>
      <w:r w:rsidRPr="00146C93">
        <w:rPr>
          <w:rFonts w:ascii="Times New Roman" w:hAnsi="Times New Roman" w:cs="Times New Roman"/>
          <w:i/>
          <w:iCs/>
        </w:rPr>
        <w:t>Philosophy of Ecology</w:t>
      </w:r>
      <w:r w:rsidRPr="00146C93">
        <w:rPr>
          <w:rFonts w:ascii="Times New Roman" w:hAnsi="Times New Roman" w:cs="Times New Roman"/>
        </w:rPr>
        <w:t xml:space="preserve"> (pp. 219–250). Elsevier. https://doi.org/10.1016/B978-0-444-51673-2.50009-1</w:t>
      </w:r>
    </w:p>
    <w:p w14:paraId="560D448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Pereira, K. E., Deslouches, J. T., Deslouches, B., &amp; Woodley, S. K. (2023). In Vitro Investigation of the Antibacterial Activity of Salamander Skin Peptides. </w:t>
      </w:r>
      <w:r w:rsidRPr="00146C93">
        <w:rPr>
          <w:rFonts w:ascii="Times New Roman" w:hAnsi="Times New Roman" w:cs="Times New Roman"/>
          <w:i/>
          <w:iCs/>
        </w:rPr>
        <w:t>Current Microbiology</w:t>
      </w:r>
      <w:r w:rsidRPr="00146C93">
        <w:rPr>
          <w:rFonts w:ascii="Times New Roman" w:hAnsi="Times New Roman" w:cs="Times New Roman"/>
        </w:rPr>
        <w:t xml:space="preserve">, </w:t>
      </w:r>
      <w:r w:rsidRPr="00146C93">
        <w:rPr>
          <w:rFonts w:ascii="Times New Roman" w:hAnsi="Times New Roman" w:cs="Times New Roman"/>
          <w:i/>
          <w:iCs/>
        </w:rPr>
        <w:t>80</w:t>
      </w:r>
      <w:r w:rsidRPr="00146C93">
        <w:rPr>
          <w:rFonts w:ascii="Times New Roman" w:hAnsi="Times New Roman" w:cs="Times New Roman"/>
        </w:rPr>
        <w:t>(7), 214. https://doi.org/10.1007/s00284-023-03320-1</w:t>
      </w:r>
    </w:p>
    <w:p w14:paraId="560B3C4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Petranka, J. W. (2010). </w:t>
      </w:r>
      <w:r w:rsidRPr="00146C93">
        <w:rPr>
          <w:rFonts w:ascii="Times New Roman" w:hAnsi="Times New Roman" w:cs="Times New Roman"/>
          <w:i/>
          <w:iCs/>
        </w:rPr>
        <w:t>Salamanders of the United States and Canada</w:t>
      </w:r>
      <w:r w:rsidRPr="00146C93">
        <w:rPr>
          <w:rFonts w:ascii="Times New Roman" w:hAnsi="Times New Roman" w:cs="Times New Roman"/>
        </w:rPr>
        <w:t xml:space="preserve"> (Illustrated edition). Smithsonian Books.</w:t>
      </w:r>
    </w:p>
    <w:p w14:paraId="0814109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Petranka, J. W., &amp; Murray, S. S. (2001). Effectiveness of Removal Sampling for Determining Salamander Density and Biomass: A Case Study in an Appalachian Streamside Community. </w:t>
      </w:r>
      <w:r w:rsidRPr="00146C93">
        <w:rPr>
          <w:rFonts w:ascii="Times New Roman" w:hAnsi="Times New Roman" w:cs="Times New Roman"/>
          <w:i/>
          <w:iCs/>
        </w:rPr>
        <w:t>Journal of Herpetology</w:t>
      </w:r>
      <w:r w:rsidRPr="00146C93">
        <w:rPr>
          <w:rFonts w:ascii="Times New Roman" w:hAnsi="Times New Roman" w:cs="Times New Roman"/>
        </w:rPr>
        <w:t xml:space="preserve">, </w:t>
      </w:r>
      <w:r w:rsidRPr="00146C93">
        <w:rPr>
          <w:rFonts w:ascii="Times New Roman" w:hAnsi="Times New Roman" w:cs="Times New Roman"/>
          <w:i/>
          <w:iCs/>
        </w:rPr>
        <w:t>35</w:t>
      </w:r>
      <w:r w:rsidRPr="00146C93">
        <w:rPr>
          <w:rFonts w:ascii="Times New Roman" w:hAnsi="Times New Roman" w:cs="Times New Roman"/>
        </w:rPr>
        <w:t>(1), 36–44. https://doi.org/10.2307/1566020</w:t>
      </w:r>
    </w:p>
    <w:p w14:paraId="04CE1FF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Pierson, T. W., Fitzpatrick, B. M., &amp; Camp, C. D. (2021). Genetic data reveal fine-scale ecological segregation between larval plethodontid salamanders in replicate contact zones. </w:t>
      </w:r>
      <w:r w:rsidRPr="00146C93">
        <w:rPr>
          <w:rFonts w:ascii="Times New Roman" w:hAnsi="Times New Roman" w:cs="Times New Roman"/>
          <w:i/>
          <w:iCs/>
        </w:rPr>
        <w:t>Evolutionary Ecology</w:t>
      </w:r>
      <w:r w:rsidRPr="00146C93">
        <w:rPr>
          <w:rFonts w:ascii="Times New Roman" w:hAnsi="Times New Roman" w:cs="Times New Roman"/>
        </w:rPr>
        <w:t xml:space="preserve">, </w:t>
      </w:r>
      <w:r w:rsidRPr="00146C93">
        <w:rPr>
          <w:rFonts w:ascii="Times New Roman" w:hAnsi="Times New Roman" w:cs="Times New Roman"/>
          <w:i/>
          <w:iCs/>
        </w:rPr>
        <w:t>35</w:t>
      </w:r>
      <w:r w:rsidRPr="00146C93">
        <w:rPr>
          <w:rFonts w:ascii="Times New Roman" w:hAnsi="Times New Roman" w:cs="Times New Roman"/>
        </w:rPr>
        <w:t>(2), 309–322. https://doi.org/10.1007/s10682-020-10099-1</w:t>
      </w:r>
    </w:p>
    <w:p w14:paraId="72AC304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Pierson, T. W., Kozak, K. H., Glenn, T. C., &amp; Fitzpatrick, B. M. (2023). River Drainage Reorganization and Reticulate Evolution in the Two-Lined Salamander (</w:t>
      </w:r>
      <w:r w:rsidRPr="00C34769">
        <w:rPr>
          <w:rFonts w:ascii="Times New Roman" w:hAnsi="Times New Roman" w:cs="Times New Roman"/>
          <w:i/>
          <w:iCs/>
        </w:rPr>
        <w:t>Eurycea bislineata</w:t>
      </w:r>
      <w:r w:rsidRPr="00146C93">
        <w:rPr>
          <w:rFonts w:ascii="Times New Roman" w:hAnsi="Times New Roman" w:cs="Times New Roman"/>
        </w:rPr>
        <w:t xml:space="preserve">) Species Complex. </w:t>
      </w:r>
      <w:r w:rsidRPr="00146C93">
        <w:rPr>
          <w:rFonts w:ascii="Times New Roman" w:hAnsi="Times New Roman" w:cs="Times New Roman"/>
          <w:i/>
          <w:iCs/>
        </w:rPr>
        <w:t>Systematic Biology</w:t>
      </w:r>
      <w:r w:rsidRPr="00146C93">
        <w:rPr>
          <w:rFonts w:ascii="Times New Roman" w:hAnsi="Times New Roman" w:cs="Times New Roman"/>
        </w:rPr>
        <w:t>, syad064. https://doi.org/10.1093/sysbio/syad064</w:t>
      </w:r>
    </w:p>
    <w:p w14:paraId="52C4D17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Podani, J., &amp; Schmera, D. (2011). A new conceptual and methodological framework for exploring and explaining pattern in presence – absence data. </w:t>
      </w:r>
      <w:r w:rsidRPr="00146C93">
        <w:rPr>
          <w:rFonts w:ascii="Times New Roman" w:hAnsi="Times New Roman" w:cs="Times New Roman"/>
          <w:i/>
          <w:iCs/>
        </w:rPr>
        <w:t>Oikos</w:t>
      </w:r>
      <w:r w:rsidRPr="00146C93">
        <w:rPr>
          <w:rFonts w:ascii="Times New Roman" w:hAnsi="Times New Roman" w:cs="Times New Roman"/>
        </w:rPr>
        <w:t xml:space="preserve">, </w:t>
      </w:r>
      <w:r w:rsidRPr="00146C93">
        <w:rPr>
          <w:rFonts w:ascii="Times New Roman" w:hAnsi="Times New Roman" w:cs="Times New Roman"/>
          <w:i/>
          <w:iCs/>
        </w:rPr>
        <w:t>120</w:t>
      </w:r>
      <w:r w:rsidRPr="00146C93">
        <w:rPr>
          <w:rFonts w:ascii="Times New Roman" w:hAnsi="Times New Roman" w:cs="Times New Roman"/>
        </w:rPr>
        <w:t>(11), 1625–1638. https://doi.org/10.1111/j.1600-0706.2011.19451.x</w:t>
      </w:r>
    </w:p>
    <w:p w14:paraId="63A4623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Pollock, J., Glendinning, L., Wisedchanwet, T., &amp; Watson, M. (2018). The Madness of Microbiome: Attempting To Find Consensus “Best Practice” for 16S Microbiome Studies. </w:t>
      </w:r>
      <w:r w:rsidRPr="00146C93">
        <w:rPr>
          <w:rFonts w:ascii="Times New Roman" w:hAnsi="Times New Roman" w:cs="Times New Roman"/>
          <w:i/>
          <w:iCs/>
        </w:rPr>
        <w:t>Applied and Environmental Microbiology</w:t>
      </w:r>
      <w:r w:rsidRPr="00146C93">
        <w:rPr>
          <w:rFonts w:ascii="Times New Roman" w:hAnsi="Times New Roman" w:cs="Times New Roman"/>
        </w:rPr>
        <w:t xml:space="preserve">, </w:t>
      </w:r>
      <w:r w:rsidRPr="00146C93">
        <w:rPr>
          <w:rFonts w:ascii="Times New Roman" w:hAnsi="Times New Roman" w:cs="Times New Roman"/>
          <w:i/>
          <w:iCs/>
        </w:rPr>
        <w:t>84</w:t>
      </w:r>
      <w:r w:rsidRPr="00146C93">
        <w:rPr>
          <w:rFonts w:ascii="Times New Roman" w:hAnsi="Times New Roman" w:cs="Times New Roman"/>
        </w:rPr>
        <w:t>(7). https://doi.org/10.1128/AEM.02627-17</w:t>
      </w:r>
    </w:p>
    <w:p w14:paraId="3459140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Prado-Irwin, S. R., Bird, A. K., Zink, A. G., &amp; Vredenburg, V. T. (2017). Intraspecific Variation in the Skin-Associated Microbiome of a Terrestrial Salamander. </w:t>
      </w:r>
      <w:r w:rsidRPr="00146C93">
        <w:rPr>
          <w:rFonts w:ascii="Times New Roman" w:hAnsi="Times New Roman" w:cs="Times New Roman"/>
          <w:i/>
          <w:iCs/>
        </w:rPr>
        <w:t>Microbial Ecology</w:t>
      </w:r>
      <w:r w:rsidRPr="00146C93">
        <w:rPr>
          <w:rFonts w:ascii="Times New Roman" w:hAnsi="Times New Roman" w:cs="Times New Roman"/>
        </w:rPr>
        <w:t xml:space="preserve">, </w:t>
      </w:r>
      <w:r w:rsidRPr="00146C93">
        <w:rPr>
          <w:rFonts w:ascii="Times New Roman" w:hAnsi="Times New Roman" w:cs="Times New Roman"/>
          <w:i/>
          <w:iCs/>
        </w:rPr>
        <w:t>74</w:t>
      </w:r>
      <w:r w:rsidRPr="00146C93">
        <w:rPr>
          <w:rFonts w:ascii="Times New Roman" w:hAnsi="Times New Roman" w:cs="Times New Roman"/>
        </w:rPr>
        <w:t>(3), 745–756. https://doi.org/10.1007/s00248-017-0986-y</w:t>
      </w:r>
    </w:p>
    <w:p w14:paraId="58630D6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Pukala, T. L., Bowie, J. H., Maselli, V. M., Musgrave, I. F., &amp; Tyler, M. J. (2006). Host-defence peptides from the glandular secretions of amphibians: Structure and activity. </w:t>
      </w:r>
      <w:r w:rsidRPr="00146C93">
        <w:rPr>
          <w:rFonts w:ascii="Times New Roman" w:hAnsi="Times New Roman" w:cs="Times New Roman"/>
          <w:i/>
          <w:iCs/>
        </w:rPr>
        <w:t>Natural Product Reports</w:t>
      </w:r>
      <w:r w:rsidRPr="00146C93">
        <w:rPr>
          <w:rFonts w:ascii="Times New Roman" w:hAnsi="Times New Roman" w:cs="Times New Roman"/>
        </w:rPr>
        <w:t xml:space="preserve">, </w:t>
      </w:r>
      <w:r w:rsidRPr="00146C93">
        <w:rPr>
          <w:rFonts w:ascii="Times New Roman" w:hAnsi="Times New Roman" w:cs="Times New Roman"/>
          <w:i/>
          <w:iCs/>
        </w:rPr>
        <w:t>23</w:t>
      </w:r>
      <w:r w:rsidRPr="00146C93">
        <w:rPr>
          <w:rFonts w:ascii="Times New Roman" w:hAnsi="Times New Roman" w:cs="Times New Roman"/>
        </w:rPr>
        <w:t>(3), 368. https://doi.org/10.1039/b512118n</w:t>
      </w:r>
    </w:p>
    <w:p w14:paraId="6B067B6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Pyron, R. A., O’Connell, K. A., Duncan, S. C., Burbrink, F. T., &amp; Beamer, D. A. (2023). Speciation Hypotheses from Phylogeographic Delimitation Yield an Integrative Taxonomy for Seal Salamanders (</w:t>
      </w:r>
      <w:r w:rsidRPr="00C34769">
        <w:rPr>
          <w:rFonts w:ascii="Times New Roman" w:hAnsi="Times New Roman" w:cs="Times New Roman"/>
          <w:i/>
          <w:iCs/>
        </w:rPr>
        <w:t>Desmognathus monticola</w:t>
      </w:r>
      <w:r w:rsidRPr="00146C93">
        <w:rPr>
          <w:rFonts w:ascii="Times New Roman" w:hAnsi="Times New Roman" w:cs="Times New Roman"/>
        </w:rPr>
        <w:t xml:space="preserve">). </w:t>
      </w:r>
      <w:r w:rsidRPr="00146C93">
        <w:rPr>
          <w:rFonts w:ascii="Times New Roman" w:hAnsi="Times New Roman" w:cs="Times New Roman"/>
          <w:i/>
          <w:iCs/>
        </w:rPr>
        <w:t>Systematic Biology</w:t>
      </w:r>
      <w:r w:rsidRPr="00146C93">
        <w:rPr>
          <w:rFonts w:ascii="Times New Roman" w:hAnsi="Times New Roman" w:cs="Times New Roman"/>
        </w:rPr>
        <w:t xml:space="preserve">, </w:t>
      </w:r>
      <w:r w:rsidRPr="00146C93">
        <w:rPr>
          <w:rFonts w:ascii="Times New Roman" w:hAnsi="Times New Roman" w:cs="Times New Roman"/>
          <w:i/>
          <w:iCs/>
        </w:rPr>
        <w:t>72</w:t>
      </w:r>
      <w:r w:rsidRPr="00146C93">
        <w:rPr>
          <w:rFonts w:ascii="Times New Roman" w:hAnsi="Times New Roman" w:cs="Times New Roman"/>
        </w:rPr>
        <w:t>(1), 179–197. https://doi.org/10.1093/sysbio/syac065</w:t>
      </w:r>
    </w:p>
    <w:p w14:paraId="72B97E8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Pyron, R. A., O’Connell, K. A., Lemmon, E. M., Lemmon, A. R., &amp; Beamer, D. A. (2022). Candidate-species delimitation in </w:t>
      </w:r>
      <w:r w:rsidRPr="00C34769">
        <w:rPr>
          <w:rFonts w:ascii="Times New Roman" w:hAnsi="Times New Roman" w:cs="Times New Roman"/>
          <w:i/>
          <w:iCs/>
        </w:rPr>
        <w:t>Desmognathus</w:t>
      </w:r>
      <w:r w:rsidRPr="00146C93">
        <w:rPr>
          <w:rFonts w:ascii="Times New Roman" w:hAnsi="Times New Roman" w:cs="Times New Roman"/>
        </w:rPr>
        <w:t xml:space="preserve"> salamanders reveals gene flow across lineage boundaries, confounding phylogenetic estimation and clarifying hybrid zones. </w:t>
      </w:r>
      <w:r w:rsidRPr="00146C93">
        <w:rPr>
          <w:rFonts w:ascii="Times New Roman" w:hAnsi="Times New Roman" w:cs="Times New Roman"/>
          <w:i/>
          <w:iCs/>
        </w:rPr>
        <w:t>Ecology and Evolution</w:t>
      </w:r>
      <w:r w:rsidRPr="00146C93">
        <w:rPr>
          <w:rFonts w:ascii="Times New Roman" w:hAnsi="Times New Roman" w:cs="Times New Roman"/>
        </w:rPr>
        <w:t xml:space="preserve">, </w:t>
      </w:r>
      <w:r w:rsidRPr="00146C93">
        <w:rPr>
          <w:rFonts w:ascii="Times New Roman" w:hAnsi="Times New Roman" w:cs="Times New Roman"/>
          <w:i/>
          <w:iCs/>
        </w:rPr>
        <w:t>12</w:t>
      </w:r>
      <w:r w:rsidRPr="00146C93">
        <w:rPr>
          <w:rFonts w:ascii="Times New Roman" w:hAnsi="Times New Roman" w:cs="Times New Roman"/>
        </w:rPr>
        <w:t>(2), e8574. https://doi.org/10.1002/ece3.8574</w:t>
      </w:r>
    </w:p>
    <w:p w14:paraId="5137E5F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Quast, C., Pruesse, E., Yilmaz, P., Gerken, J., Schweer, T., Yarza, P., Peplies, J., &amp; Glöckner, F. O. (2013). The SILVA ribosomal RNA gene database project: Improved data processing and web-based tools. </w:t>
      </w:r>
      <w:r w:rsidRPr="00146C93">
        <w:rPr>
          <w:rFonts w:ascii="Times New Roman" w:hAnsi="Times New Roman" w:cs="Times New Roman"/>
          <w:i/>
          <w:iCs/>
        </w:rPr>
        <w:t>Nucleic Acids Research</w:t>
      </w:r>
      <w:r w:rsidRPr="00146C93">
        <w:rPr>
          <w:rFonts w:ascii="Times New Roman" w:hAnsi="Times New Roman" w:cs="Times New Roman"/>
        </w:rPr>
        <w:t xml:space="preserve">, </w:t>
      </w:r>
      <w:r w:rsidRPr="00146C93">
        <w:rPr>
          <w:rFonts w:ascii="Times New Roman" w:hAnsi="Times New Roman" w:cs="Times New Roman"/>
          <w:i/>
          <w:iCs/>
        </w:rPr>
        <w:t>41</w:t>
      </w:r>
      <w:r w:rsidRPr="00146C93">
        <w:rPr>
          <w:rFonts w:ascii="Times New Roman" w:hAnsi="Times New Roman" w:cs="Times New Roman"/>
        </w:rPr>
        <w:t>(Database issue), D590–D596. https://doi.org/10.1093/nar/gks1219</w:t>
      </w:r>
    </w:p>
    <w:p w14:paraId="687E4EB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 Core Team. (2022). </w:t>
      </w:r>
      <w:r w:rsidRPr="00146C93">
        <w:rPr>
          <w:rFonts w:ascii="Times New Roman" w:hAnsi="Times New Roman" w:cs="Times New Roman"/>
          <w:i/>
          <w:iCs/>
        </w:rPr>
        <w:t>R: A language and environment for statistical computing.</w:t>
      </w:r>
      <w:r w:rsidRPr="00146C93">
        <w:rPr>
          <w:rFonts w:ascii="Times New Roman" w:hAnsi="Times New Roman" w:cs="Times New Roman"/>
        </w:rPr>
        <w:t xml:space="preserve"> [Computer software]. R Foundation for Statistical Computing. https://www.R-project.org/</w:t>
      </w:r>
    </w:p>
    <w:p w14:paraId="509E5A0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Ramírez-Barahona, S., González-Serrano, F. M., Martínez-Ugalde, E., Soto-Pozos, A., Parra-Olea, G., &amp; Rebollar, E. A. (2023). Host phylogeny and environment shape the diversity of salamander skin bacterial communities. </w:t>
      </w:r>
      <w:r w:rsidRPr="00146C93">
        <w:rPr>
          <w:rFonts w:ascii="Times New Roman" w:hAnsi="Times New Roman" w:cs="Times New Roman"/>
          <w:i/>
          <w:iCs/>
        </w:rPr>
        <w:t>Animal Microbiome</w:t>
      </w:r>
      <w:r w:rsidRPr="00146C93">
        <w:rPr>
          <w:rFonts w:ascii="Times New Roman" w:hAnsi="Times New Roman" w:cs="Times New Roman"/>
        </w:rPr>
        <w:t xml:space="preserve">, </w:t>
      </w:r>
      <w:r w:rsidRPr="00146C93">
        <w:rPr>
          <w:rFonts w:ascii="Times New Roman" w:hAnsi="Times New Roman" w:cs="Times New Roman"/>
          <w:i/>
          <w:iCs/>
        </w:rPr>
        <w:t>5</w:t>
      </w:r>
      <w:r w:rsidRPr="00146C93">
        <w:rPr>
          <w:rFonts w:ascii="Times New Roman" w:hAnsi="Times New Roman" w:cs="Times New Roman"/>
        </w:rPr>
        <w:t>(1), 52. https://doi.org/10.1186/s42523-023-00271-7</w:t>
      </w:r>
    </w:p>
    <w:p w14:paraId="65EFD9E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Ravel, J., Gajer, P., Abdo, Z., Schneider, G. M., Koenig, S. S. K., McCulle, S. L., Karlebach, S., Gorle, R., Russell, J., Tacket, C. O., Brotman, R. M., Davis, C. C., Ault, K., Peralta, L., &amp; Forney, L. J. (2011). Vaginal microbiome of reproductive-age women.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108</w:t>
      </w:r>
      <w:r w:rsidRPr="00146C93">
        <w:rPr>
          <w:rFonts w:ascii="Times New Roman" w:hAnsi="Times New Roman" w:cs="Times New Roman"/>
        </w:rPr>
        <w:t>(supplement_1), 4680–4687. https://doi.org/10.1073/pnas.1002611107</w:t>
      </w:r>
    </w:p>
    <w:p w14:paraId="3D87C20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Risely, A. (2020). Applying the core microbiome to understand host–microbe systems. </w:t>
      </w:r>
      <w:r w:rsidRPr="00146C93">
        <w:rPr>
          <w:rFonts w:ascii="Times New Roman" w:hAnsi="Times New Roman" w:cs="Times New Roman"/>
          <w:i/>
          <w:iCs/>
        </w:rPr>
        <w:t>Journal of Animal Ecology</w:t>
      </w:r>
      <w:r w:rsidRPr="00146C93">
        <w:rPr>
          <w:rFonts w:ascii="Times New Roman" w:hAnsi="Times New Roman" w:cs="Times New Roman"/>
        </w:rPr>
        <w:t xml:space="preserve">, </w:t>
      </w:r>
      <w:r w:rsidRPr="00146C93">
        <w:rPr>
          <w:rFonts w:ascii="Times New Roman" w:hAnsi="Times New Roman" w:cs="Times New Roman"/>
          <w:i/>
          <w:iCs/>
        </w:rPr>
        <w:t>89</w:t>
      </w:r>
      <w:r w:rsidRPr="00146C93">
        <w:rPr>
          <w:rFonts w:ascii="Times New Roman" w:hAnsi="Times New Roman" w:cs="Times New Roman"/>
        </w:rPr>
        <w:t>(7), 1549–1558. https://doi.org/10.1111/1365-2656.13229</w:t>
      </w:r>
    </w:p>
    <w:p w14:paraId="1C2B15C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Roelants, K., Fry, B. G., Ye, L., Stijlemans, B., Brys, L., Kok, P., Clynen, E., Schoofs, L., Cornelis, P., &amp; Bossuyt, F. (2013). Origin and Functional Diversification of an Amphibian Defense Peptide Arsenal. </w:t>
      </w:r>
      <w:r w:rsidRPr="00146C93">
        <w:rPr>
          <w:rFonts w:ascii="Times New Roman" w:hAnsi="Times New Roman" w:cs="Times New Roman"/>
          <w:i/>
          <w:iCs/>
        </w:rPr>
        <w:t>PLOS Genetics</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(8), e1003662. https://doi.org/10.1371/journal.pgen.1003662</w:t>
      </w:r>
    </w:p>
    <w:p w14:paraId="3BEE621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Roelants, K., Gower, D. J., Wilkinson, M., Loader, S. P., Biju, S. D., Guillaume, K., Moriau, L., &amp; Bossuyt, F. (2007). Global patterns of diversification in the history of modern amphibians. </w:t>
      </w:r>
      <w:r w:rsidRPr="00146C93">
        <w:rPr>
          <w:rFonts w:ascii="Times New Roman" w:hAnsi="Times New Roman" w:cs="Times New Roman"/>
          <w:i/>
          <w:iCs/>
        </w:rPr>
        <w:t>Proceedings of the National Academy of Sciences</w:t>
      </w:r>
      <w:r w:rsidRPr="00146C93">
        <w:rPr>
          <w:rFonts w:ascii="Times New Roman" w:hAnsi="Times New Roman" w:cs="Times New Roman"/>
        </w:rPr>
        <w:t xml:space="preserve">, </w:t>
      </w:r>
      <w:r w:rsidRPr="00146C93">
        <w:rPr>
          <w:rFonts w:ascii="Times New Roman" w:hAnsi="Times New Roman" w:cs="Times New Roman"/>
          <w:i/>
          <w:iCs/>
        </w:rPr>
        <w:t>104</w:t>
      </w:r>
      <w:r w:rsidRPr="00146C93">
        <w:rPr>
          <w:rFonts w:ascii="Times New Roman" w:hAnsi="Times New Roman" w:cs="Times New Roman"/>
        </w:rPr>
        <w:t>(3), 887–892. https://doi.org/10.1073/pnas.0608378104</w:t>
      </w:r>
    </w:p>
    <w:p w14:paraId="433598B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Rognes, T., Flouri, T., Nichols, B., Quince, C., &amp; Mahé, F. (2016). VSEARCH: A versatile open source tool for metagenomics. </w:t>
      </w:r>
      <w:r w:rsidRPr="00146C93">
        <w:rPr>
          <w:rFonts w:ascii="Times New Roman" w:hAnsi="Times New Roman" w:cs="Times New Roman"/>
          <w:i/>
          <w:iCs/>
        </w:rPr>
        <w:t>PeerJ</w:t>
      </w:r>
      <w:r w:rsidRPr="00146C93">
        <w:rPr>
          <w:rFonts w:ascii="Times New Roman" w:hAnsi="Times New Roman" w:cs="Times New Roman"/>
        </w:rPr>
        <w:t xml:space="preserve">, </w:t>
      </w:r>
      <w:r w:rsidRPr="00146C93">
        <w:rPr>
          <w:rFonts w:ascii="Times New Roman" w:hAnsi="Times New Roman" w:cs="Times New Roman"/>
          <w:i/>
          <w:iCs/>
        </w:rPr>
        <w:t>4</w:t>
      </w:r>
      <w:r w:rsidRPr="00146C93">
        <w:rPr>
          <w:rFonts w:ascii="Times New Roman" w:hAnsi="Times New Roman" w:cs="Times New Roman"/>
        </w:rPr>
        <w:t>, e2584. https://doi.org/10.7717/peerj.2584</w:t>
      </w:r>
    </w:p>
    <w:p w14:paraId="7A30A38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Rollins-Smith, L. A. (2009). The role of amphibian antimicrobial peptides in protection of amphibians from pathogens linked to global amphibian declines. </w:t>
      </w:r>
      <w:r w:rsidRPr="00146C93">
        <w:rPr>
          <w:rFonts w:ascii="Times New Roman" w:hAnsi="Times New Roman" w:cs="Times New Roman"/>
          <w:i/>
          <w:iCs/>
        </w:rPr>
        <w:t>Biochimica et Biophysica Acta (BBA) - Biomembranes</w:t>
      </w:r>
      <w:r w:rsidRPr="00146C93">
        <w:rPr>
          <w:rFonts w:ascii="Times New Roman" w:hAnsi="Times New Roman" w:cs="Times New Roman"/>
        </w:rPr>
        <w:t xml:space="preserve">, </w:t>
      </w:r>
      <w:r w:rsidRPr="00146C93">
        <w:rPr>
          <w:rFonts w:ascii="Times New Roman" w:hAnsi="Times New Roman" w:cs="Times New Roman"/>
          <w:i/>
          <w:iCs/>
        </w:rPr>
        <w:t>1788</w:t>
      </w:r>
      <w:r w:rsidRPr="00146C93">
        <w:rPr>
          <w:rFonts w:ascii="Times New Roman" w:hAnsi="Times New Roman" w:cs="Times New Roman"/>
        </w:rPr>
        <w:t>(8), 1593–1599. https://doi.org/10.1016/j.bbamem.2009.03.008</w:t>
      </w:r>
    </w:p>
    <w:p w14:paraId="36FF813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Rollins-Smith, L. A., &amp; Le Sage, E. H. (2021). Batrachochytrium fungi: Stealth invaders in amphibian skin. </w:t>
      </w:r>
      <w:r w:rsidRPr="00146C93">
        <w:rPr>
          <w:rFonts w:ascii="Times New Roman" w:hAnsi="Times New Roman" w:cs="Times New Roman"/>
          <w:i/>
          <w:iCs/>
        </w:rPr>
        <w:t>Current Opinion in Microbiology</w:t>
      </w:r>
      <w:r w:rsidRPr="00146C93">
        <w:rPr>
          <w:rFonts w:ascii="Times New Roman" w:hAnsi="Times New Roman" w:cs="Times New Roman"/>
        </w:rPr>
        <w:t xml:space="preserve">, </w:t>
      </w:r>
      <w:r w:rsidRPr="00146C93">
        <w:rPr>
          <w:rFonts w:ascii="Times New Roman" w:hAnsi="Times New Roman" w:cs="Times New Roman"/>
          <w:i/>
          <w:iCs/>
        </w:rPr>
        <w:t>61</w:t>
      </w:r>
      <w:r w:rsidRPr="00146C93">
        <w:rPr>
          <w:rFonts w:ascii="Times New Roman" w:hAnsi="Times New Roman" w:cs="Times New Roman"/>
        </w:rPr>
        <w:t>, 124–132. https://doi.org/10.1016/j.mib.2021.04.002</w:t>
      </w:r>
    </w:p>
    <w:p w14:paraId="030BD8F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Rosenberg, E., &amp; Zilber-Rosenberg, I. (2011). The Hologenome Concept. In E. Rosenberg &amp; U. Gophna (Eds.), </w:t>
      </w:r>
      <w:r w:rsidRPr="00146C93">
        <w:rPr>
          <w:rFonts w:ascii="Times New Roman" w:hAnsi="Times New Roman" w:cs="Times New Roman"/>
          <w:i/>
          <w:iCs/>
        </w:rPr>
        <w:t>Beneficial Microorganisms in Multicellular Life Forms</w:t>
      </w:r>
      <w:r w:rsidRPr="00146C93">
        <w:rPr>
          <w:rFonts w:ascii="Times New Roman" w:hAnsi="Times New Roman" w:cs="Times New Roman"/>
        </w:rPr>
        <w:t xml:space="preserve"> (pp. 323–340). Springer. https://doi.org/10.1007/978-3-642-21680-0_24</w:t>
      </w:r>
    </w:p>
    <w:p w14:paraId="789057D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Rupp, A. E., &amp; Sever, D. M. (2018). Histology of mental and caudal courtship glands in three genera of plethodontid salamanders (Amphibia: Plethodontidae). </w:t>
      </w:r>
      <w:r w:rsidRPr="00146C93">
        <w:rPr>
          <w:rFonts w:ascii="Times New Roman" w:hAnsi="Times New Roman" w:cs="Times New Roman"/>
          <w:i/>
          <w:iCs/>
        </w:rPr>
        <w:t>Acta Zoologica</w:t>
      </w:r>
      <w:r w:rsidRPr="00146C93">
        <w:rPr>
          <w:rFonts w:ascii="Times New Roman" w:hAnsi="Times New Roman" w:cs="Times New Roman"/>
        </w:rPr>
        <w:t xml:space="preserve">, </w:t>
      </w:r>
      <w:r w:rsidRPr="00146C93">
        <w:rPr>
          <w:rFonts w:ascii="Times New Roman" w:hAnsi="Times New Roman" w:cs="Times New Roman"/>
          <w:i/>
          <w:iCs/>
        </w:rPr>
        <w:t>99</w:t>
      </w:r>
      <w:r w:rsidRPr="00146C93">
        <w:rPr>
          <w:rFonts w:ascii="Times New Roman" w:hAnsi="Times New Roman" w:cs="Times New Roman"/>
        </w:rPr>
        <w:t>(1), 20–31. https://doi.org/10.1111/azo.12188</w:t>
      </w:r>
    </w:p>
    <w:p w14:paraId="5486F5E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Russel, J. (2020). </w:t>
      </w:r>
      <w:r w:rsidRPr="00146C93">
        <w:rPr>
          <w:rFonts w:ascii="Times New Roman" w:hAnsi="Times New Roman" w:cs="Times New Roman"/>
          <w:i/>
          <w:iCs/>
        </w:rPr>
        <w:t>MicEco: Various functions for microbial community data. R package</w:t>
      </w:r>
      <w:r w:rsidRPr="00146C93">
        <w:rPr>
          <w:rFonts w:ascii="Times New Roman" w:hAnsi="Times New Roman" w:cs="Times New Roman"/>
        </w:rPr>
        <w:t xml:space="preserve"> (0.9.9) [Computer software].</w:t>
      </w:r>
    </w:p>
    <w:p w14:paraId="58956AA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Ryan, R. P., Monchy, S., Cardinale, M., Taghavi, S., Crossman, L., Avison, M. B., Berg, G., van der Lelie, D., &amp; Dow, J. M. (2009). The versatility and adaptation of bacteria from the genus Stenotrophomonas. </w:t>
      </w:r>
      <w:r w:rsidRPr="00146C93">
        <w:rPr>
          <w:rFonts w:ascii="Times New Roman" w:hAnsi="Times New Roman" w:cs="Times New Roman"/>
          <w:i/>
          <w:iCs/>
        </w:rPr>
        <w:t>Nature Reviews Microbiology</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(7), Article 7. https://doi.org/10.1038/nrmicro2163</w:t>
      </w:r>
    </w:p>
    <w:p w14:paraId="77285AA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Sabino Pinto, J., Galán, P., Rodríguez, S., Bletz, M., Bhuju, S., Geffers, R., Jarek, M., &amp; Vences, M. (2017). Temporal changes in cutaneous bacterial communities of terrestrial- and aquatic- phase newts (Amphibia). </w:t>
      </w:r>
      <w:r w:rsidRPr="00146C93">
        <w:rPr>
          <w:rFonts w:ascii="Times New Roman" w:hAnsi="Times New Roman" w:cs="Times New Roman"/>
          <w:i/>
          <w:iCs/>
        </w:rPr>
        <w:t>Environmental Microbiology</w:t>
      </w:r>
      <w:r w:rsidRPr="00146C93">
        <w:rPr>
          <w:rFonts w:ascii="Times New Roman" w:hAnsi="Times New Roman" w:cs="Times New Roman"/>
        </w:rPr>
        <w:t xml:space="preserve">, </w:t>
      </w:r>
      <w:r w:rsidRPr="00146C93">
        <w:rPr>
          <w:rFonts w:ascii="Times New Roman" w:hAnsi="Times New Roman" w:cs="Times New Roman"/>
          <w:i/>
          <w:iCs/>
        </w:rPr>
        <w:t>19</w:t>
      </w:r>
      <w:r w:rsidRPr="00146C93">
        <w:rPr>
          <w:rFonts w:ascii="Times New Roman" w:hAnsi="Times New Roman" w:cs="Times New Roman"/>
        </w:rPr>
        <w:t>. https://doi.org/10.1111/1462-2920.13762</w:t>
      </w:r>
    </w:p>
    <w:p w14:paraId="622BCE4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Saffo, M. B. (1992). Coming to Terms with a Field: Words and Concepts in Symbiosis. </w:t>
      </w:r>
      <w:r w:rsidRPr="00146C93">
        <w:rPr>
          <w:rFonts w:ascii="Times New Roman" w:hAnsi="Times New Roman" w:cs="Times New Roman"/>
          <w:i/>
          <w:iCs/>
        </w:rPr>
        <w:t>Symbiosis</w:t>
      </w:r>
      <w:r w:rsidRPr="00146C93">
        <w:rPr>
          <w:rFonts w:ascii="Times New Roman" w:hAnsi="Times New Roman" w:cs="Times New Roman"/>
        </w:rPr>
        <w:t xml:space="preserve">, </w:t>
      </w:r>
      <w:r w:rsidRPr="00146C93">
        <w:rPr>
          <w:rFonts w:ascii="Times New Roman" w:hAnsi="Times New Roman" w:cs="Times New Roman"/>
          <w:i/>
          <w:iCs/>
        </w:rPr>
        <w:t>14</w:t>
      </w:r>
      <w:r w:rsidRPr="00146C93">
        <w:rPr>
          <w:rFonts w:ascii="Times New Roman" w:hAnsi="Times New Roman" w:cs="Times New Roman"/>
        </w:rPr>
        <w:t>, 17–31.</w:t>
      </w:r>
    </w:p>
    <w:p w14:paraId="459475F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Sanchez, E., Bletz, M. C., Duntsch, L., Bhuju, S., Geffers, R., Jarek, M., Dohrmann, A. B., Tebbe, C. C., Steinfartz, S., &amp; Vences, M. (2017). Cutaneous Bacterial Communities of a Poisonous Salamander: A Perspective from Life Stages, Body Parts and Environmental Conditions. </w:t>
      </w:r>
      <w:r w:rsidRPr="00146C93">
        <w:rPr>
          <w:rFonts w:ascii="Times New Roman" w:hAnsi="Times New Roman" w:cs="Times New Roman"/>
          <w:i/>
          <w:iCs/>
        </w:rPr>
        <w:t>Microbial Ecology</w:t>
      </w:r>
      <w:r w:rsidRPr="00146C93">
        <w:rPr>
          <w:rFonts w:ascii="Times New Roman" w:hAnsi="Times New Roman" w:cs="Times New Roman"/>
        </w:rPr>
        <w:t xml:space="preserve">, </w:t>
      </w:r>
      <w:r w:rsidRPr="00146C93">
        <w:rPr>
          <w:rFonts w:ascii="Times New Roman" w:hAnsi="Times New Roman" w:cs="Times New Roman"/>
          <w:i/>
          <w:iCs/>
        </w:rPr>
        <w:t>73</w:t>
      </w:r>
      <w:r w:rsidRPr="00146C93">
        <w:rPr>
          <w:rFonts w:ascii="Times New Roman" w:hAnsi="Times New Roman" w:cs="Times New Roman"/>
        </w:rPr>
        <w:t>(2), 455–465. https://doi.org/10.1007/s00248-016-0863-0</w:t>
      </w:r>
    </w:p>
    <w:p w14:paraId="6B7F7E1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Sapp, J. (1994). </w:t>
      </w:r>
      <w:r w:rsidRPr="00146C93">
        <w:rPr>
          <w:rFonts w:ascii="Times New Roman" w:hAnsi="Times New Roman" w:cs="Times New Roman"/>
          <w:i/>
          <w:iCs/>
        </w:rPr>
        <w:t>Evolution by Association: A History of Symbiosis</w:t>
      </w:r>
      <w:r w:rsidRPr="00146C93">
        <w:rPr>
          <w:rFonts w:ascii="Times New Roman" w:hAnsi="Times New Roman" w:cs="Times New Roman"/>
        </w:rPr>
        <w:t>. Oxford University Press.</w:t>
      </w:r>
    </w:p>
    <w:p w14:paraId="1514487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Serna-Chavez, H. M., Fierer, N., &amp; van Bodegom, P. M. (2013). Global drivers and patterns of microbial abundance in soil: Global patterns of soil microbial biomass. </w:t>
      </w:r>
      <w:r w:rsidRPr="00146C93">
        <w:rPr>
          <w:rFonts w:ascii="Times New Roman" w:hAnsi="Times New Roman" w:cs="Times New Roman"/>
          <w:i/>
          <w:iCs/>
        </w:rPr>
        <w:t>Global Ecology and Biogeography</w:t>
      </w:r>
      <w:r w:rsidRPr="00146C93">
        <w:rPr>
          <w:rFonts w:ascii="Times New Roman" w:hAnsi="Times New Roman" w:cs="Times New Roman"/>
        </w:rPr>
        <w:t xml:space="preserve">, </w:t>
      </w:r>
      <w:r w:rsidRPr="00146C93">
        <w:rPr>
          <w:rFonts w:ascii="Times New Roman" w:hAnsi="Times New Roman" w:cs="Times New Roman"/>
          <w:i/>
          <w:iCs/>
        </w:rPr>
        <w:t>22</w:t>
      </w:r>
      <w:r w:rsidRPr="00146C93">
        <w:rPr>
          <w:rFonts w:ascii="Times New Roman" w:hAnsi="Times New Roman" w:cs="Times New Roman"/>
        </w:rPr>
        <w:t>(10), 1162–1172. https://doi.org/10.1111/geb.12070</w:t>
      </w:r>
    </w:p>
    <w:p w14:paraId="462DB60E"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Sever, D. M., &amp; Siegel, D. S. (2015). Histology and ultrastructure of the caudal courtship glands of the red-backed salamander, Plethodon cinereus (Amphibia: Plethodontidae). </w:t>
      </w:r>
      <w:r w:rsidRPr="00146C93">
        <w:rPr>
          <w:rFonts w:ascii="Times New Roman" w:hAnsi="Times New Roman" w:cs="Times New Roman"/>
          <w:i/>
          <w:iCs/>
        </w:rPr>
        <w:t>Journal of Morphology</w:t>
      </w:r>
      <w:r w:rsidRPr="00146C93">
        <w:rPr>
          <w:rFonts w:ascii="Times New Roman" w:hAnsi="Times New Roman" w:cs="Times New Roman"/>
        </w:rPr>
        <w:t xml:space="preserve">, </w:t>
      </w:r>
      <w:r w:rsidRPr="00146C93">
        <w:rPr>
          <w:rFonts w:ascii="Times New Roman" w:hAnsi="Times New Roman" w:cs="Times New Roman"/>
          <w:i/>
          <w:iCs/>
        </w:rPr>
        <w:t>276</w:t>
      </w:r>
      <w:r w:rsidRPr="00146C93">
        <w:rPr>
          <w:rFonts w:ascii="Times New Roman" w:hAnsi="Times New Roman" w:cs="Times New Roman"/>
        </w:rPr>
        <w:t>(3), 319–330. https://doi.org/10.1002/jmor.20342</w:t>
      </w:r>
    </w:p>
    <w:p w14:paraId="62AE1E5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Shade, A., Peter, H., Allison, S., Baho, D., Berga, M., Buergmann, H., Huber, D., Langenheder, S., Lennon, J., Martiny, J., Matulich, K., Schmidt, T., &amp; Handelsman, J. (2012). Fundamentals of Microbial Community Resistance and Resilience.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3</w:t>
      </w:r>
      <w:r w:rsidRPr="00146C93">
        <w:rPr>
          <w:rFonts w:ascii="Times New Roman" w:hAnsi="Times New Roman" w:cs="Times New Roman"/>
        </w:rPr>
        <w:t>. https://www.frontiersin.org/articles/10.3389/fmicb.2012.00417</w:t>
      </w:r>
    </w:p>
    <w:p w14:paraId="4CCEAE9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Shapiro, J. W., &amp; Turner, P. E. (2014). The impact of transmission mode on the evolution of benefits provided by microbial symbionts. </w:t>
      </w:r>
      <w:r w:rsidRPr="00146C93">
        <w:rPr>
          <w:rFonts w:ascii="Times New Roman" w:hAnsi="Times New Roman" w:cs="Times New Roman"/>
          <w:i/>
          <w:iCs/>
        </w:rPr>
        <w:t>Ecology and Evolution</w:t>
      </w:r>
      <w:r w:rsidRPr="00146C93">
        <w:rPr>
          <w:rFonts w:ascii="Times New Roman" w:hAnsi="Times New Roman" w:cs="Times New Roman"/>
        </w:rPr>
        <w:t xml:space="preserve">, </w:t>
      </w:r>
      <w:r w:rsidRPr="00146C93">
        <w:rPr>
          <w:rFonts w:ascii="Times New Roman" w:hAnsi="Times New Roman" w:cs="Times New Roman"/>
          <w:i/>
          <w:iCs/>
        </w:rPr>
        <w:t>4</w:t>
      </w:r>
      <w:r w:rsidRPr="00146C93">
        <w:rPr>
          <w:rFonts w:ascii="Times New Roman" w:hAnsi="Times New Roman" w:cs="Times New Roman"/>
        </w:rPr>
        <w:t>(17), 3350–3361. https://doi.org/10.1002/ece3.1166</w:t>
      </w:r>
    </w:p>
    <w:p w14:paraId="300DDA63" w14:textId="77777777" w:rsidR="00A961B9" w:rsidRPr="00A56FE9" w:rsidRDefault="00A961B9" w:rsidP="00A961B9">
      <w:pPr>
        <w:ind w:left="720" w:hanging="720"/>
      </w:pPr>
      <w:r w:rsidRPr="00146C93">
        <w:rPr>
          <w:rFonts w:ascii="Times New Roman" w:hAnsi="Times New Roman" w:cs="Times New Roman"/>
        </w:rPr>
        <w:t xml:space="preserve">Sheafor, B., Davidson, E. W., Parr, L., &amp; Rollins-Smith, L. (2008). </w:t>
      </w:r>
      <w:r>
        <w:rPr>
          <w:rFonts w:ascii="Times New Roman" w:hAnsi="Times New Roman" w:cs="Times New Roman"/>
        </w:rPr>
        <w:t xml:space="preserve">Antimicrobial peptide defenses in the salamander, </w:t>
      </w:r>
      <w:r w:rsidRPr="001D6CF7">
        <w:rPr>
          <w:rFonts w:ascii="Times New Roman" w:hAnsi="Times New Roman" w:cs="Times New Roman"/>
          <w:i/>
          <w:iCs/>
        </w:rPr>
        <w:t>Ambystoma tigrinum</w:t>
      </w:r>
      <w:r>
        <w:rPr>
          <w:rFonts w:ascii="Times New Roman" w:hAnsi="Times New Roman" w:cs="Times New Roman"/>
        </w:rPr>
        <w:t>, against emerging Amphibian pathogens.</w:t>
      </w:r>
      <w:r w:rsidRPr="00146C93">
        <w:rPr>
          <w:rFonts w:ascii="Times New Roman" w:hAnsi="Times New Roman" w:cs="Times New Roman"/>
        </w:rPr>
        <w:t xml:space="preserve"> </w:t>
      </w:r>
      <w:r w:rsidRPr="00146C93">
        <w:rPr>
          <w:rFonts w:ascii="Times New Roman" w:hAnsi="Times New Roman" w:cs="Times New Roman"/>
          <w:i/>
          <w:iCs/>
        </w:rPr>
        <w:t>Journal of Wildlife Diseases</w:t>
      </w:r>
      <w:r w:rsidRPr="00146C93">
        <w:rPr>
          <w:rFonts w:ascii="Times New Roman" w:hAnsi="Times New Roman" w:cs="Times New Roman"/>
        </w:rPr>
        <w:t xml:space="preserve">, </w:t>
      </w:r>
      <w:r w:rsidRPr="00146C93">
        <w:rPr>
          <w:rFonts w:ascii="Times New Roman" w:hAnsi="Times New Roman" w:cs="Times New Roman"/>
          <w:i/>
          <w:iCs/>
        </w:rPr>
        <w:t>44</w:t>
      </w:r>
      <w:r w:rsidRPr="00146C93">
        <w:rPr>
          <w:rFonts w:ascii="Times New Roman" w:hAnsi="Times New Roman" w:cs="Times New Roman"/>
        </w:rPr>
        <w:t>(2), 226–236. https://doi.org/10.7589/0090-3558-44.2.226</w:t>
      </w:r>
    </w:p>
    <w:p w14:paraId="1E7FCC8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Sieber, M., Pita, L., Weiland-Bräuer, N., Dirksen, P., Wang, J., Mortzfeld, B., Franzenburg, S., Schmitz, R. A., Baines, J. F., Fraune, S., Hentschel, U., Schulenburg, H., Bosch, T. C. G., &amp; Traulsen, A. (2019). Neutrality in the Metaorganism. </w:t>
      </w:r>
      <w:r w:rsidRPr="00146C93">
        <w:rPr>
          <w:rFonts w:ascii="Times New Roman" w:hAnsi="Times New Roman" w:cs="Times New Roman"/>
          <w:i/>
          <w:iCs/>
        </w:rPr>
        <w:t>PLoS Biology</w:t>
      </w:r>
      <w:r w:rsidRPr="00146C93">
        <w:rPr>
          <w:rFonts w:ascii="Times New Roman" w:hAnsi="Times New Roman" w:cs="Times New Roman"/>
        </w:rPr>
        <w:t xml:space="preserve">, </w:t>
      </w:r>
      <w:r w:rsidRPr="00146C93">
        <w:rPr>
          <w:rFonts w:ascii="Times New Roman" w:hAnsi="Times New Roman" w:cs="Times New Roman"/>
          <w:i/>
          <w:iCs/>
        </w:rPr>
        <w:t>17</w:t>
      </w:r>
      <w:r w:rsidRPr="00146C93">
        <w:rPr>
          <w:rFonts w:ascii="Times New Roman" w:hAnsi="Times New Roman" w:cs="Times New Roman"/>
        </w:rPr>
        <w:t>(6), e3000298. https://doi.org/10.1371/journal.pbio.3000298</w:t>
      </w:r>
    </w:p>
    <w:p w14:paraId="27D6123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Skerratt, L. F., Berger, L., Speare, R., Cashins, S., McDonald, K. R., Phillott, A. D., Hines, H. B., &amp; Kenyon, N. (2007). Spread of Chytridiomycosis Has Caused the Rapid Global Decline and Extinction of Frogs. </w:t>
      </w:r>
      <w:r w:rsidRPr="00146C93">
        <w:rPr>
          <w:rFonts w:ascii="Times New Roman" w:hAnsi="Times New Roman" w:cs="Times New Roman"/>
          <w:i/>
          <w:iCs/>
        </w:rPr>
        <w:t>EcoHealth</w:t>
      </w:r>
      <w:r w:rsidRPr="00146C93">
        <w:rPr>
          <w:rFonts w:ascii="Times New Roman" w:hAnsi="Times New Roman" w:cs="Times New Roman"/>
        </w:rPr>
        <w:t xml:space="preserve">, </w:t>
      </w:r>
      <w:r w:rsidRPr="00146C93">
        <w:rPr>
          <w:rFonts w:ascii="Times New Roman" w:hAnsi="Times New Roman" w:cs="Times New Roman"/>
          <w:i/>
          <w:iCs/>
        </w:rPr>
        <w:t>4</w:t>
      </w:r>
      <w:r w:rsidRPr="00146C93">
        <w:rPr>
          <w:rFonts w:ascii="Times New Roman" w:hAnsi="Times New Roman" w:cs="Times New Roman"/>
        </w:rPr>
        <w:t>(2), 125–134. https://doi.org/10.1007/s10393-007-0093-5</w:t>
      </w:r>
    </w:p>
    <w:p w14:paraId="5A8674A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Smith, D. C. (1992). The Symbiotic Condition. </w:t>
      </w:r>
      <w:r w:rsidRPr="00146C93">
        <w:rPr>
          <w:rFonts w:ascii="Times New Roman" w:hAnsi="Times New Roman" w:cs="Times New Roman"/>
          <w:i/>
          <w:iCs/>
        </w:rPr>
        <w:t>Symbiosis</w:t>
      </w:r>
      <w:r w:rsidRPr="00146C93">
        <w:rPr>
          <w:rFonts w:ascii="Times New Roman" w:hAnsi="Times New Roman" w:cs="Times New Roman"/>
        </w:rPr>
        <w:t xml:space="preserve">, </w:t>
      </w:r>
      <w:r w:rsidRPr="00146C93">
        <w:rPr>
          <w:rFonts w:ascii="Times New Roman" w:hAnsi="Times New Roman" w:cs="Times New Roman"/>
          <w:i/>
          <w:iCs/>
        </w:rPr>
        <w:t>14</w:t>
      </w:r>
      <w:r w:rsidRPr="00146C93">
        <w:rPr>
          <w:rFonts w:ascii="Times New Roman" w:hAnsi="Times New Roman" w:cs="Times New Roman"/>
        </w:rPr>
        <w:t>, 3–15.</w:t>
      </w:r>
    </w:p>
    <w:p w14:paraId="73369B0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Smith, H. K., Pasmans, F., Dhaenens, M., Deforce, D., Bonte, D., Verheyen, K., Lens, L., &amp; Martel, A. (2018). Skin mucosome activity as an indicator of </w:t>
      </w:r>
      <w:r w:rsidRPr="00F45682">
        <w:rPr>
          <w:rFonts w:ascii="Times New Roman" w:hAnsi="Times New Roman" w:cs="Times New Roman"/>
          <w:i/>
          <w:iCs/>
        </w:rPr>
        <w:t xml:space="preserve">Batrachochytrium salamandrivorans </w:t>
      </w:r>
      <w:r w:rsidRPr="00146C93">
        <w:rPr>
          <w:rFonts w:ascii="Times New Roman" w:hAnsi="Times New Roman" w:cs="Times New Roman"/>
        </w:rPr>
        <w:t xml:space="preserve">susceptibility in salamanders.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13</w:t>
      </w:r>
      <w:r w:rsidRPr="00146C93">
        <w:rPr>
          <w:rFonts w:ascii="Times New Roman" w:hAnsi="Times New Roman" w:cs="Times New Roman"/>
        </w:rPr>
        <w:t>(7). https://doi.org/10.1371/journal.pone.0199295</w:t>
      </w:r>
    </w:p>
    <w:p w14:paraId="10E69D16"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Smith, S. A., &amp; O’Meara, B. C. (2012). treePL: Divergence time estimation using penalized likelihood for large phylogenies. </w:t>
      </w:r>
      <w:r w:rsidRPr="00146C93">
        <w:rPr>
          <w:rFonts w:ascii="Times New Roman" w:hAnsi="Times New Roman" w:cs="Times New Roman"/>
          <w:i/>
          <w:iCs/>
        </w:rPr>
        <w:t>Bioinformatics</w:t>
      </w:r>
      <w:r w:rsidRPr="00146C93">
        <w:rPr>
          <w:rFonts w:ascii="Times New Roman" w:hAnsi="Times New Roman" w:cs="Times New Roman"/>
        </w:rPr>
        <w:t xml:space="preserve">, </w:t>
      </w:r>
      <w:r w:rsidRPr="00146C93">
        <w:rPr>
          <w:rFonts w:ascii="Times New Roman" w:hAnsi="Times New Roman" w:cs="Times New Roman"/>
          <w:i/>
          <w:iCs/>
        </w:rPr>
        <w:t>28</w:t>
      </w:r>
      <w:r w:rsidRPr="00146C93">
        <w:rPr>
          <w:rFonts w:ascii="Times New Roman" w:hAnsi="Times New Roman" w:cs="Times New Roman"/>
        </w:rPr>
        <w:t>(20), 2689–2690. https://doi.org/10.1093/bioinformatics/bts492</w:t>
      </w:r>
    </w:p>
    <w:p w14:paraId="7A250F5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Sorensen, J. W., &amp; Shade, A. (2020). Dormancy dynamics and dispersal contribute to soil microbiome resilience. </w:t>
      </w:r>
      <w:r w:rsidRPr="00146C93">
        <w:rPr>
          <w:rFonts w:ascii="Times New Roman" w:hAnsi="Times New Roman" w:cs="Times New Roman"/>
          <w:i/>
          <w:iCs/>
        </w:rPr>
        <w:t>Philosophical Transactions of the Royal Society of London. Series B, Biological Sciences</w:t>
      </w:r>
      <w:r w:rsidRPr="00146C93">
        <w:rPr>
          <w:rFonts w:ascii="Times New Roman" w:hAnsi="Times New Roman" w:cs="Times New Roman"/>
        </w:rPr>
        <w:t xml:space="preserve">, </w:t>
      </w:r>
      <w:r w:rsidRPr="00146C93">
        <w:rPr>
          <w:rFonts w:ascii="Times New Roman" w:hAnsi="Times New Roman" w:cs="Times New Roman"/>
          <w:i/>
          <w:iCs/>
        </w:rPr>
        <w:t>375</w:t>
      </w:r>
      <w:r w:rsidRPr="00146C93">
        <w:rPr>
          <w:rFonts w:ascii="Times New Roman" w:hAnsi="Times New Roman" w:cs="Times New Roman"/>
        </w:rPr>
        <w:t>(1798), 20190255. https://doi.org/10.1098/rstb.2019.0255</w:t>
      </w:r>
    </w:p>
    <w:p w14:paraId="7ACB295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Southerland, M. T. (1986). The Effects of Variation in Streamside Habitats on the Composition of Mountain Salamander Communities. </w:t>
      </w:r>
      <w:r w:rsidRPr="00146C93">
        <w:rPr>
          <w:rFonts w:ascii="Times New Roman" w:hAnsi="Times New Roman" w:cs="Times New Roman"/>
          <w:i/>
          <w:iCs/>
        </w:rPr>
        <w:t>Copeia</w:t>
      </w:r>
      <w:r w:rsidRPr="00146C93">
        <w:rPr>
          <w:rFonts w:ascii="Times New Roman" w:hAnsi="Times New Roman" w:cs="Times New Roman"/>
        </w:rPr>
        <w:t xml:space="preserve">, </w:t>
      </w:r>
      <w:r w:rsidRPr="00146C93">
        <w:rPr>
          <w:rFonts w:ascii="Times New Roman" w:hAnsi="Times New Roman" w:cs="Times New Roman"/>
          <w:i/>
          <w:iCs/>
        </w:rPr>
        <w:t>1986</w:t>
      </w:r>
      <w:r w:rsidRPr="00146C93">
        <w:rPr>
          <w:rFonts w:ascii="Times New Roman" w:hAnsi="Times New Roman" w:cs="Times New Roman"/>
        </w:rPr>
        <w:t>(3), 731–741. https://doi.org/10.2307/1444957</w:t>
      </w:r>
    </w:p>
    <w:p w14:paraId="5EFED90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Spaulding, S. H., Cox, J. J., Maigret, T. A., Drayer, A. N., Richards, J. M., &amp; Treanor, J. (2018). Low-level </w:t>
      </w:r>
      <w:r w:rsidRPr="00F45682">
        <w:rPr>
          <w:rFonts w:ascii="Times New Roman" w:hAnsi="Times New Roman" w:cs="Times New Roman"/>
          <w:i/>
          <w:iCs/>
        </w:rPr>
        <w:t>Batrachochytrium dendrobatidis</w:t>
      </w:r>
      <w:r w:rsidRPr="00146C93">
        <w:rPr>
          <w:rFonts w:ascii="Times New Roman" w:hAnsi="Times New Roman" w:cs="Times New Roman"/>
        </w:rPr>
        <w:t xml:space="preserve"> Detection Persists in Plethodontid Salamanders Following Timber Harvest in Kentucky, USA. </w:t>
      </w:r>
      <w:r w:rsidRPr="00146C93">
        <w:rPr>
          <w:rFonts w:ascii="Times New Roman" w:hAnsi="Times New Roman" w:cs="Times New Roman"/>
          <w:i/>
          <w:iCs/>
        </w:rPr>
        <w:t>Herpetological Review</w:t>
      </w:r>
      <w:r w:rsidRPr="00146C93">
        <w:rPr>
          <w:rFonts w:ascii="Times New Roman" w:hAnsi="Times New Roman" w:cs="Times New Roman"/>
        </w:rPr>
        <w:t xml:space="preserve">, </w:t>
      </w:r>
      <w:r w:rsidRPr="00146C93">
        <w:rPr>
          <w:rFonts w:ascii="Times New Roman" w:hAnsi="Times New Roman" w:cs="Times New Roman"/>
          <w:i/>
          <w:iCs/>
        </w:rPr>
        <w:t>49</w:t>
      </w:r>
      <w:r w:rsidRPr="00146C93">
        <w:rPr>
          <w:rFonts w:ascii="Times New Roman" w:hAnsi="Times New Roman" w:cs="Times New Roman"/>
        </w:rPr>
        <w:t>(2), 258–262.</w:t>
      </w:r>
    </w:p>
    <w:p w14:paraId="71D8F8A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Sprockett, D., Fukami, T., &amp; Relman, D. A. (2018). Role of priority effects in the early-life assembly of the gut microbiota. </w:t>
      </w:r>
      <w:r w:rsidRPr="00146C93">
        <w:rPr>
          <w:rFonts w:ascii="Times New Roman" w:hAnsi="Times New Roman" w:cs="Times New Roman"/>
          <w:i/>
          <w:iCs/>
        </w:rPr>
        <w:t>Nature Reviews. Gastroenterology &amp; Hepatology</w:t>
      </w:r>
      <w:r w:rsidRPr="00146C93">
        <w:rPr>
          <w:rFonts w:ascii="Times New Roman" w:hAnsi="Times New Roman" w:cs="Times New Roman"/>
        </w:rPr>
        <w:t xml:space="preserve">, </w:t>
      </w:r>
      <w:r w:rsidRPr="00146C93">
        <w:rPr>
          <w:rFonts w:ascii="Times New Roman" w:hAnsi="Times New Roman" w:cs="Times New Roman"/>
          <w:i/>
          <w:iCs/>
        </w:rPr>
        <w:t>15</w:t>
      </w:r>
      <w:r w:rsidRPr="00146C93">
        <w:rPr>
          <w:rFonts w:ascii="Times New Roman" w:hAnsi="Times New Roman" w:cs="Times New Roman"/>
        </w:rPr>
        <w:t>(4), 197–205. https://doi.org/10.1038/nrgastro.2017.173</w:t>
      </w:r>
    </w:p>
    <w:p w14:paraId="2BC8C67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Steenwyk, J. L., &amp; Rokas, A. (2021). ggpubfigs: Colorblind-Friendly Color Palettes and ggplot2 Graphic System Extensions for Publication-Quality Scientific Figures. </w:t>
      </w:r>
      <w:r w:rsidRPr="00146C93">
        <w:rPr>
          <w:rFonts w:ascii="Times New Roman" w:hAnsi="Times New Roman" w:cs="Times New Roman"/>
          <w:i/>
          <w:iCs/>
        </w:rPr>
        <w:t>Microbiology Resource Announcements</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(44), e0087121. https://doi.org/10.1128/MRA.00871-21</w:t>
      </w:r>
    </w:p>
    <w:p w14:paraId="5073616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Stegen, G., Pasmans, F., Schmidt, B., Rouffaer, L., Praet, S., Schaub, M., Canessa, S., Laudelout, A., Kinet, T., Adriaensen, C., Haesebrouck, F., Bert, W., Bossuyt, F., &amp; Martel, A. (2017). Drivers of salamander extirpation mediated by </w:t>
      </w:r>
      <w:r w:rsidRPr="00F45682">
        <w:rPr>
          <w:rFonts w:ascii="Times New Roman" w:hAnsi="Times New Roman" w:cs="Times New Roman"/>
          <w:i/>
          <w:iCs/>
        </w:rPr>
        <w:t>Batrachochytrium salamandrivorans.</w:t>
      </w:r>
      <w:r w:rsidRPr="00146C93">
        <w:rPr>
          <w:rFonts w:ascii="Times New Roman" w:hAnsi="Times New Roman" w:cs="Times New Roman"/>
        </w:rPr>
        <w:t xml:space="preserve"> </w:t>
      </w:r>
      <w:r w:rsidRPr="00146C93">
        <w:rPr>
          <w:rFonts w:ascii="Times New Roman" w:hAnsi="Times New Roman" w:cs="Times New Roman"/>
          <w:i/>
          <w:iCs/>
        </w:rPr>
        <w:t>Nature</w:t>
      </w:r>
      <w:r w:rsidRPr="00146C93">
        <w:rPr>
          <w:rFonts w:ascii="Times New Roman" w:hAnsi="Times New Roman" w:cs="Times New Roman"/>
        </w:rPr>
        <w:t xml:space="preserve">, </w:t>
      </w:r>
      <w:r w:rsidRPr="00146C93">
        <w:rPr>
          <w:rFonts w:ascii="Times New Roman" w:hAnsi="Times New Roman" w:cs="Times New Roman"/>
          <w:i/>
          <w:iCs/>
        </w:rPr>
        <w:t>544</w:t>
      </w:r>
      <w:r w:rsidRPr="00146C93">
        <w:rPr>
          <w:rFonts w:ascii="Times New Roman" w:hAnsi="Times New Roman" w:cs="Times New Roman"/>
        </w:rPr>
        <w:t>, 353. https://doi.org/10.1038/nature22059</w:t>
      </w:r>
    </w:p>
    <w:p w14:paraId="756BBA6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Stegen, J. C., Lin, X., Fredrickson, J. K., Chen, X., Kennedy, D. W., Murray, C. J., Rockhold, M. L., &amp; Konopka, A. (2013). Quantifying community assembly processes and identifying features that impose them.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7</w:t>
      </w:r>
      <w:r w:rsidRPr="00146C93">
        <w:rPr>
          <w:rFonts w:ascii="Times New Roman" w:hAnsi="Times New Roman" w:cs="Times New Roman"/>
        </w:rPr>
        <w:t>(11), Article 11. https://doi.org/10.1038/ismej.2013.93</w:t>
      </w:r>
    </w:p>
    <w:p w14:paraId="40D9E38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Steinert, M., Hentschel, U., &amp; Hacker, J. (2000). Symbiosis and Pathogenesis: Evolution of the Microbe-Host Interaction. </w:t>
      </w:r>
      <w:r w:rsidRPr="00146C93">
        <w:rPr>
          <w:rFonts w:ascii="Times New Roman" w:hAnsi="Times New Roman" w:cs="Times New Roman"/>
          <w:i/>
          <w:iCs/>
        </w:rPr>
        <w:t>Naturwissenschaften</w:t>
      </w:r>
      <w:r w:rsidRPr="00146C93">
        <w:rPr>
          <w:rFonts w:ascii="Times New Roman" w:hAnsi="Times New Roman" w:cs="Times New Roman"/>
        </w:rPr>
        <w:t xml:space="preserve">, </w:t>
      </w:r>
      <w:r w:rsidRPr="00146C93">
        <w:rPr>
          <w:rFonts w:ascii="Times New Roman" w:hAnsi="Times New Roman" w:cs="Times New Roman"/>
          <w:i/>
          <w:iCs/>
        </w:rPr>
        <w:t>87</w:t>
      </w:r>
      <w:r w:rsidRPr="00146C93">
        <w:rPr>
          <w:rFonts w:ascii="Times New Roman" w:hAnsi="Times New Roman" w:cs="Times New Roman"/>
        </w:rPr>
        <w:t>(1), 1–11. https://doi.org/10.1007/s001140050001</w:t>
      </w:r>
    </w:p>
    <w:p w14:paraId="01FB304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Stuart, S. N., Chanson, J. S., Cox, N. A., Young, B. E., Rodrigues, A. S. L., Fischman, D. L., &amp; Waller, R. W. (2004). Status and trends of amphibian declines and extinctions worldwide. </w:t>
      </w:r>
      <w:r w:rsidRPr="00146C93">
        <w:rPr>
          <w:rFonts w:ascii="Times New Roman" w:hAnsi="Times New Roman" w:cs="Times New Roman"/>
          <w:i/>
          <w:iCs/>
        </w:rPr>
        <w:t>Science (New York, N.Y.)</w:t>
      </w:r>
      <w:r w:rsidRPr="00146C93">
        <w:rPr>
          <w:rFonts w:ascii="Times New Roman" w:hAnsi="Times New Roman" w:cs="Times New Roman"/>
        </w:rPr>
        <w:t xml:space="preserve">, </w:t>
      </w:r>
      <w:r w:rsidRPr="00146C93">
        <w:rPr>
          <w:rFonts w:ascii="Times New Roman" w:hAnsi="Times New Roman" w:cs="Times New Roman"/>
          <w:i/>
          <w:iCs/>
        </w:rPr>
        <w:t>306</w:t>
      </w:r>
      <w:r w:rsidRPr="00146C93">
        <w:rPr>
          <w:rFonts w:ascii="Times New Roman" w:hAnsi="Times New Roman" w:cs="Times New Roman"/>
        </w:rPr>
        <w:t>(5702), 1783–1786. https://doi.org/10.1126/science.1103538</w:t>
      </w:r>
    </w:p>
    <w:p w14:paraId="1C77D30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Sylvain, F.-É., Holland, A., Bouslama, S., Audet-Gilbert, É., Lavoie, C., Val, A. L., &amp; Derome, N. (2020). Fish Skin and Gut Microbiomes Show Contrasting Signatures of Host Species and Habitat. </w:t>
      </w:r>
      <w:r w:rsidRPr="00146C93">
        <w:rPr>
          <w:rFonts w:ascii="Times New Roman" w:hAnsi="Times New Roman" w:cs="Times New Roman"/>
          <w:i/>
          <w:iCs/>
        </w:rPr>
        <w:t>Applied and Environmental Microbiology</w:t>
      </w:r>
      <w:r w:rsidRPr="00146C93">
        <w:rPr>
          <w:rFonts w:ascii="Times New Roman" w:hAnsi="Times New Roman" w:cs="Times New Roman"/>
        </w:rPr>
        <w:t xml:space="preserve">, </w:t>
      </w:r>
      <w:r w:rsidRPr="00146C93">
        <w:rPr>
          <w:rFonts w:ascii="Times New Roman" w:hAnsi="Times New Roman" w:cs="Times New Roman"/>
          <w:i/>
          <w:iCs/>
        </w:rPr>
        <w:t>86</w:t>
      </w:r>
      <w:r w:rsidRPr="00146C93">
        <w:rPr>
          <w:rFonts w:ascii="Times New Roman" w:hAnsi="Times New Roman" w:cs="Times New Roman"/>
        </w:rPr>
        <w:t>(16), e00789-20. https://doi.org/10.1128/AEM.00789-20</w:t>
      </w:r>
    </w:p>
    <w:p w14:paraId="3BE7BF7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Takeshita, K., &amp; Kikuchi, Y. (2020). Genomic Comparison of Insect Gut Symbionts from Divergent Burkholderia Subclades. </w:t>
      </w:r>
      <w:r w:rsidRPr="00146C93">
        <w:rPr>
          <w:rFonts w:ascii="Times New Roman" w:hAnsi="Times New Roman" w:cs="Times New Roman"/>
          <w:i/>
          <w:iCs/>
        </w:rPr>
        <w:t>Genes</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(7), Article 7. https://doi.org/10.3390/genes11070744</w:t>
      </w:r>
    </w:p>
    <w:p w14:paraId="44A7FAE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Tennessen, J. A., Woodhams, D. C., Chaurand, P., Reinert, L. K., Billheimer, D., Shyr, Y., Caprioli, R. M., Blouin, M. S., &amp; Rollins-Smith, L. A. (2009). Variations in the expressed antimicrobial peptide repertoire of northern leopard frog (</w:t>
      </w:r>
      <w:r w:rsidRPr="00C34769">
        <w:rPr>
          <w:rFonts w:ascii="Times New Roman" w:hAnsi="Times New Roman" w:cs="Times New Roman"/>
          <w:i/>
          <w:iCs/>
        </w:rPr>
        <w:t>Rana pipiens</w:t>
      </w:r>
      <w:r w:rsidRPr="00146C93">
        <w:rPr>
          <w:rFonts w:ascii="Times New Roman" w:hAnsi="Times New Roman" w:cs="Times New Roman"/>
        </w:rPr>
        <w:t xml:space="preserve">) populations suggest intraspecies differences in resistance to pathogens. </w:t>
      </w:r>
      <w:r w:rsidRPr="00146C93">
        <w:rPr>
          <w:rFonts w:ascii="Times New Roman" w:hAnsi="Times New Roman" w:cs="Times New Roman"/>
          <w:i/>
          <w:iCs/>
        </w:rPr>
        <w:t>Developmental and Comparative Immunology</w:t>
      </w:r>
      <w:r w:rsidRPr="00146C93">
        <w:rPr>
          <w:rFonts w:ascii="Times New Roman" w:hAnsi="Times New Roman" w:cs="Times New Roman"/>
        </w:rPr>
        <w:t xml:space="preserve">, </w:t>
      </w:r>
      <w:r w:rsidRPr="00146C93">
        <w:rPr>
          <w:rFonts w:ascii="Times New Roman" w:hAnsi="Times New Roman" w:cs="Times New Roman"/>
          <w:i/>
          <w:iCs/>
        </w:rPr>
        <w:t>33</w:t>
      </w:r>
      <w:r w:rsidRPr="00146C93">
        <w:rPr>
          <w:rFonts w:ascii="Times New Roman" w:hAnsi="Times New Roman" w:cs="Times New Roman"/>
        </w:rPr>
        <w:t>(12), 1247–1257. https://doi.org/10.1016/j.dci.2009.07.004</w:t>
      </w:r>
    </w:p>
    <w:p w14:paraId="7B50B01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Toju, H., Vannette, R. L., Gauthier, M.-P. L., Dhami, M. K., &amp; Fukami, T. (2018). Priority effects can persist across floral generations in nectar microbial metacommunities. </w:t>
      </w:r>
      <w:r w:rsidRPr="00146C93">
        <w:rPr>
          <w:rFonts w:ascii="Times New Roman" w:hAnsi="Times New Roman" w:cs="Times New Roman"/>
          <w:i/>
          <w:iCs/>
        </w:rPr>
        <w:t>Oikos</w:t>
      </w:r>
      <w:r w:rsidRPr="00146C93">
        <w:rPr>
          <w:rFonts w:ascii="Times New Roman" w:hAnsi="Times New Roman" w:cs="Times New Roman"/>
        </w:rPr>
        <w:t xml:space="preserve">, </w:t>
      </w:r>
      <w:r w:rsidRPr="00146C93">
        <w:rPr>
          <w:rFonts w:ascii="Times New Roman" w:hAnsi="Times New Roman" w:cs="Times New Roman"/>
          <w:i/>
          <w:iCs/>
        </w:rPr>
        <w:t>127</w:t>
      </w:r>
      <w:r w:rsidRPr="00146C93">
        <w:rPr>
          <w:rFonts w:ascii="Times New Roman" w:hAnsi="Times New Roman" w:cs="Times New Roman"/>
        </w:rPr>
        <w:t>(3), 345–352. https://doi.org/10.1111/oik.04243</w:t>
      </w:r>
    </w:p>
    <w:p w14:paraId="617FD26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Tong, Q., Hu, Z., Du, X., Bie, J., &amp; Wang, H. (2020). Effects of Seasonal Hibernation on the Similarities Between the Skin Microbiota and Gut Microbiota of an Amphibian (Rana dybowskii). </w:t>
      </w:r>
      <w:r w:rsidRPr="00146C93">
        <w:rPr>
          <w:rFonts w:ascii="Times New Roman" w:hAnsi="Times New Roman" w:cs="Times New Roman"/>
          <w:i/>
          <w:iCs/>
        </w:rPr>
        <w:t>Microbial Ecology</w:t>
      </w:r>
      <w:r w:rsidRPr="00146C93">
        <w:rPr>
          <w:rFonts w:ascii="Times New Roman" w:hAnsi="Times New Roman" w:cs="Times New Roman"/>
        </w:rPr>
        <w:t xml:space="preserve">, </w:t>
      </w:r>
      <w:r w:rsidRPr="00146C93">
        <w:rPr>
          <w:rFonts w:ascii="Times New Roman" w:hAnsi="Times New Roman" w:cs="Times New Roman"/>
          <w:i/>
          <w:iCs/>
        </w:rPr>
        <w:t>79</w:t>
      </w:r>
      <w:r w:rsidRPr="00146C93">
        <w:rPr>
          <w:rFonts w:ascii="Times New Roman" w:hAnsi="Times New Roman" w:cs="Times New Roman"/>
        </w:rPr>
        <w:t>(4), 898–909. https://doi.org/10.1007/s00248-019-01466-9</w:t>
      </w:r>
    </w:p>
    <w:p w14:paraId="7FB7528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Torres, J. P., Tianero, M. D., Robes, J. M. D., Kwan, J. C., Biggs, J. S., Concepcion, G. P., Olivera, B. M., Haygood, M. G., &amp; Schmidt, E. W. (2017). Stenotrophomonas-Like Bacteria Are Widespread Symbionts in Cone Snail Venom Ducts. </w:t>
      </w:r>
      <w:r w:rsidRPr="00146C93">
        <w:rPr>
          <w:rFonts w:ascii="Times New Roman" w:hAnsi="Times New Roman" w:cs="Times New Roman"/>
          <w:i/>
          <w:iCs/>
        </w:rPr>
        <w:t>Applied and Environmental Microbiology</w:t>
      </w:r>
      <w:r w:rsidRPr="00146C93">
        <w:rPr>
          <w:rFonts w:ascii="Times New Roman" w:hAnsi="Times New Roman" w:cs="Times New Roman"/>
        </w:rPr>
        <w:t xml:space="preserve">, </w:t>
      </w:r>
      <w:r w:rsidRPr="00146C93">
        <w:rPr>
          <w:rFonts w:ascii="Times New Roman" w:hAnsi="Times New Roman" w:cs="Times New Roman"/>
          <w:i/>
          <w:iCs/>
        </w:rPr>
        <w:t>83</w:t>
      </w:r>
      <w:r w:rsidRPr="00146C93">
        <w:rPr>
          <w:rFonts w:ascii="Times New Roman" w:hAnsi="Times New Roman" w:cs="Times New Roman"/>
        </w:rPr>
        <w:t>(23), e01418-17. https://doi.org/10.1128/AEM.01418-17</w:t>
      </w:r>
    </w:p>
    <w:p w14:paraId="36E58C6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Tuomisto, H. (2012). An updated consumer’s guide to evenness and related indices. </w:t>
      </w:r>
      <w:r w:rsidRPr="00146C93">
        <w:rPr>
          <w:rFonts w:ascii="Times New Roman" w:hAnsi="Times New Roman" w:cs="Times New Roman"/>
          <w:i/>
          <w:iCs/>
        </w:rPr>
        <w:t>Oikos</w:t>
      </w:r>
      <w:r w:rsidRPr="00146C93">
        <w:rPr>
          <w:rFonts w:ascii="Times New Roman" w:hAnsi="Times New Roman" w:cs="Times New Roman"/>
        </w:rPr>
        <w:t xml:space="preserve">, </w:t>
      </w:r>
      <w:r w:rsidRPr="00146C93">
        <w:rPr>
          <w:rFonts w:ascii="Times New Roman" w:hAnsi="Times New Roman" w:cs="Times New Roman"/>
          <w:i/>
          <w:iCs/>
        </w:rPr>
        <w:t>121</w:t>
      </w:r>
      <w:r w:rsidRPr="00146C93">
        <w:rPr>
          <w:rFonts w:ascii="Times New Roman" w:hAnsi="Times New Roman" w:cs="Times New Roman"/>
        </w:rPr>
        <w:t>(8), 1203–1218. https://doi.org/10.1111/j.1600-0706.2011.19897.x</w:t>
      </w:r>
    </w:p>
    <w:p w14:paraId="1F47842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Turnbaugh, P. J., Ley, R. E., Hamady, M., Fraser-Liggett, C. M., Knight, R., &amp; Gordon, J. I. (2007). The Human Microbiome Project. </w:t>
      </w:r>
      <w:r w:rsidRPr="00146C93">
        <w:rPr>
          <w:rFonts w:ascii="Times New Roman" w:hAnsi="Times New Roman" w:cs="Times New Roman"/>
          <w:i/>
          <w:iCs/>
        </w:rPr>
        <w:t>Nature</w:t>
      </w:r>
      <w:r w:rsidRPr="00146C93">
        <w:rPr>
          <w:rFonts w:ascii="Times New Roman" w:hAnsi="Times New Roman" w:cs="Times New Roman"/>
        </w:rPr>
        <w:t xml:space="preserve">, </w:t>
      </w:r>
      <w:r w:rsidRPr="00146C93">
        <w:rPr>
          <w:rFonts w:ascii="Times New Roman" w:hAnsi="Times New Roman" w:cs="Times New Roman"/>
          <w:i/>
          <w:iCs/>
        </w:rPr>
        <w:t>449</w:t>
      </w:r>
      <w:r w:rsidRPr="00146C93">
        <w:rPr>
          <w:rFonts w:ascii="Times New Roman" w:hAnsi="Times New Roman" w:cs="Times New Roman"/>
        </w:rPr>
        <w:t>(7164), Article 7164. https://doi.org/10.1038/nature06244</w:t>
      </w:r>
    </w:p>
    <w:p w14:paraId="15A5FCB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Vaelli, P. M., Theis, K. R., Williams, J. E., O’Connell, L. A., Foster, J. A., &amp; Eisthen, H. L. (2020). The skin microbiome facilitates adaptive tetrodotoxin production in poisonous newts. </w:t>
      </w:r>
      <w:r w:rsidRPr="00146C93">
        <w:rPr>
          <w:rFonts w:ascii="Times New Roman" w:hAnsi="Times New Roman" w:cs="Times New Roman"/>
          <w:i/>
          <w:iCs/>
        </w:rPr>
        <w:t>eLife</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 e53898. https://doi.org/10.7554/eLife.53898</w:t>
      </w:r>
    </w:p>
    <w:p w14:paraId="1BDC36C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Van Rooij, P., Martel, A., Haesebrouck, F., &amp; Pasmans, F. (2015). Amphibian chytridiomycosis: A review with focus on fungus-host interactions. </w:t>
      </w:r>
      <w:r w:rsidRPr="00146C93">
        <w:rPr>
          <w:rFonts w:ascii="Times New Roman" w:hAnsi="Times New Roman" w:cs="Times New Roman"/>
          <w:i/>
          <w:iCs/>
        </w:rPr>
        <w:t>Veterinary Research</w:t>
      </w:r>
      <w:r w:rsidRPr="00146C93">
        <w:rPr>
          <w:rFonts w:ascii="Times New Roman" w:hAnsi="Times New Roman" w:cs="Times New Roman"/>
        </w:rPr>
        <w:t xml:space="preserve">, </w:t>
      </w:r>
      <w:r w:rsidRPr="00146C93">
        <w:rPr>
          <w:rFonts w:ascii="Times New Roman" w:hAnsi="Times New Roman" w:cs="Times New Roman"/>
          <w:i/>
          <w:iCs/>
        </w:rPr>
        <w:t>46</w:t>
      </w:r>
      <w:r w:rsidRPr="00146C93">
        <w:rPr>
          <w:rFonts w:ascii="Times New Roman" w:hAnsi="Times New Roman" w:cs="Times New Roman"/>
        </w:rPr>
        <w:t>. https://doi.org/10.1186/s13567-015-0266-0</w:t>
      </w:r>
    </w:p>
    <w:p w14:paraId="6A2DF1F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Varga, J. F. A., Bui-Marinos, M. P., &amp; Katzenback, B. A. (2019). Frog Skin Innate Immune Defences: Sensing and Surviving Pathogens. </w:t>
      </w:r>
      <w:r w:rsidRPr="00146C93">
        <w:rPr>
          <w:rFonts w:ascii="Times New Roman" w:hAnsi="Times New Roman" w:cs="Times New Roman"/>
          <w:i/>
          <w:iCs/>
        </w:rPr>
        <w:t>Frontiers in Immunology</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 https://doi.org/10.3389/fimmu.2018.03128</w:t>
      </w:r>
    </w:p>
    <w:p w14:paraId="7FA7843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Varma, S. (2006). </w:t>
      </w:r>
      <w:r w:rsidRPr="00146C93">
        <w:rPr>
          <w:rFonts w:ascii="Times New Roman" w:hAnsi="Times New Roman" w:cs="Times New Roman"/>
          <w:i/>
          <w:iCs/>
        </w:rPr>
        <w:t>Preliminary Item Statistics Using Point-Biserial Correlation and P-Values</w:t>
      </w:r>
      <w:r w:rsidRPr="00146C93">
        <w:rPr>
          <w:rFonts w:ascii="Times New Roman" w:hAnsi="Times New Roman" w:cs="Times New Roman"/>
        </w:rPr>
        <w:t>.</w:t>
      </w:r>
    </w:p>
    <w:p w14:paraId="5889024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Vazquez, V., Rothermel, B., &amp; Pessier, A. (2009). Experimental infection of North American plethodontid salamanders with the fungus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Diseases of Aquatic Organisms</w:t>
      </w:r>
      <w:r w:rsidRPr="00146C93">
        <w:rPr>
          <w:rFonts w:ascii="Times New Roman" w:hAnsi="Times New Roman" w:cs="Times New Roman"/>
        </w:rPr>
        <w:t xml:space="preserve">, </w:t>
      </w:r>
      <w:r w:rsidRPr="00146C93">
        <w:rPr>
          <w:rFonts w:ascii="Times New Roman" w:hAnsi="Times New Roman" w:cs="Times New Roman"/>
          <w:i/>
          <w:iCs/>
        </w:rPr>
        <w:t>84</w:t>
      </w:r>
      <w:r w:rsidRPr="00146C93">
        <w:rPr>
          <w:rFonts w:ascii="Times New Roman" w:hAnsi="Times New Roman" w:cs="Times New Roman"/>
        </w:rPr>
        <w:t>, 1–7. https://doi.org/10.3354/dao02026</w:t>
      </w:r>
    </w:p>
    <w:p w14:paraId="1B287F9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Vellend, M. (2010). Conceptual synthesis in community ecology. </w:t>
      </w:r>
      <w:r w:rsidRPr="00146C93">
        <w:rPr>
          <w:rFonts w:ascii="Times New Roman" w:hAnsi="Times New Roman" w:cs="Times New Roman"/>
          <w:i/>
          <w:iCs/>
        </w:rPr>
        <w:t>The Quarterly Review of Biology</w:t>
      </w:r>
      <w:r w:rsidRPr="00146C93">
        <w:rPr>
          <w:rFonts w:ascii="Times New Roman" w:hAnsi="Times New Roman" w:cs="Times New Roman"/>
        </w:rPr>
        <w:t xml:space="preserve">, </w:t>
      </w:r>
      <w:r w:rsidRPr="00146C93">
        <w:rPr>
          <w:rFonts w:ascii="Times New Roman" w:hAnsi="Times New Roman" w:cs="Times New Roman"/>
          <w:i/>
          <w:iCs/>
        </w:rPr>
        <w:t>85</w:t>
      </w:r>
      <w:r w:rsidRPr="00146C93">
        <w:rPr>
          <w:rFonts w:ascii="Times New Roman" w:hAnsi="Times New Roman" w:cs="Times New Roman"/>
        </w:rPr>
        <w:t>(2), 183–206. https://doi.org/10.1086/652373</w:t>
      </w:r>
    </w:p>
    <w:p w14:paraId="7BB4512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Vij, R., Hube, B., &amp; Brunke, S. (2021). Uncharted territories in the discovery of antifungal and antivirulence natural products from bacteria. </w:t>
      </w:r>
      <w:r w:rsidRPr="00146C93">
        <w:rPr>
          <w:rFonts w:ascii="Times New Roman" w:hAnsi="Times New Roman" w:cs="Times New Roman"/>
          <w:i/>
          <w:iCs/>
        </w:rPr>
        <w:t>Computational and Structural Biotechnology Journal</w:t>
      </w:r>
      <w:r w:rsidRPr="00146C93">
        <w:rPr>
          <w:rFonts w:ascii="Times New Roman" w:hAnsi="Times New Roman" w:cs="Times New Roman"/>
        </w:rPr>
        <w:t xml:space="preserve">, </w:t>
      </w:r>
      <w:r w:rsidRPr="00146C93">
        <w:rPr>
          <w:rFonts w:ascii="Times New Roman" w:hAnsi="Times New Roman" w:cs="Times New Roman"/>
          <w:i/>
          <w:iCs/>
        </w:rPr>
        <w:t>19</w:t>
      </w:r>
      <w:r w:rsidRPr="00146C93">
        <w:rPr>
          <w:rFonts w:ascii="Times New Roman" w:hAnsi="Times New Roman" w:cs="Times New Roman"/>
        </w:rPr>
        <w:t>, 1244–1252. https://doi.org/10.1016/j.csbj.2021.02.003</w:t>
      </w:r>
    </w:p>
    <w:p w14:paraId="4F99F19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Visick, K. L., Stabb, E. V., &amp; Ruby, E. G. (2021). A lasting symbiosis: How Vibrio fischeri finds a squid partner and persists within its natural host. </w:t>
      </w:r>
      <w:r w:rsidRPr="00146C93">
        <w:rPr>
          <w:rFonts w:ascii="Times New Roman" w:hAnsi="Times New Roman" w:cs="Times New Roman"/>
          <w:i/>
          <w:iCs/>
        </w:rPr>
        <w:t>Nature Reviews Microbiology</w:t>
      </w:r>
      <w:r w:rsidRPr="00146C93">
        <w:rPr>
          <w:rFonts w:ascii="Times New Roman" w:hAnsi="Times New Roman" w:cs="Times New Roman"/>
        </w:rPr>
        <w:t xml:space="preserve">, </w:t>
      </w:r>
      <w:r w:rsidRPr="00146C93">
        <w:rPr>
          <w:rFonts w:ascii="Times New Roman" w:hAnsi="Times New Roman" w:cs="Times New Roman"/>
          <w:i/>
          <w:iCs/>
        </w:rPr>
        <w:t>19</w:t>
      </w:r>
      <w:r w:rsidRPr="00146C93">
        <w:rPr>
          <w:rFonts w:ascii="Times New Roman" w:hAnsi="Times New Roman" w:cs="Times New Roman"/>
        </w:rPr>
        <w:t>(10), Article 10. https://doi.org/10.1038/s41579-021-00557-0</w:t>
      </w:r>
    </w:p>
    <w:p w14:paraId="5FD66FD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von Byern, J., Mebs, D., Heiss, E., Dicke, U., Wetjen, O., Bakkegard, K., Grunwald, I., Wolbank, S., Mühleder, S., Gugerell, A., Fuchs, H., &amp; Nürnberger, S. (2017). Salamanders on the bench – A biocompatibility study of salamander skin secretions in cell cultures. </w:t>
      </w:r>
      <w:r w:rsidRPr="00146C93">
        <w:rPr>
          <w:rFonts w:ascii="Times New Roman" w:hAnsi="Times New Roman" w:cs="Times New Roman"/>
          <w:i/>
          <w:iCs/>
        </w:rPr>
        <w:t>Toxicon</w:t>
      </w:r>
      <w:r w:rsidRPr="00146C93">
        <w:rPr>
          <w:rFonts w:ascii="Times New Roman" w:hAnsi="Times New Roman" w:cs="Times New Roman"/>
        </w:rPr>
        <w:t xml:space="preserve">, </w:t>
      </w:r>
      <w:r w:rsidRPr="00146C93">
        <w:rPr>
          <w:rFonts w:ascii="Times New Roman" w:hAnsi="Times New Roman" w:cs="Times New Roman"/>
          <w:i/>
          <w:iCs/>
        </w:rPr>
        <w:t>135</w:t>
      </w:r>
      <w:r w:rsidRPr="00146C93">
        <w:rPr>
          <w:rFonts w:ascii="Times New Roman" w:hAnsi="Times New Roman" w:cs="Times New Roman"/>
        </w:rPr>
        <w:t>, 24–32. https://doi.org/10.1016/j.toxicon.2017.05.021</w:t>
      </w:r>
    </w:p>
    <w:p w14:paraId="408D959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Walke, J. B., Becker, M. H., Krinos, A., Chang, B., Santiago, C., Umile, T. P., Minbiole, K. P. C., &amp; Belden, L. K. (2021). Seasonal changes and the unexpected impact of environmental disturbance on skin bacteria of individual amphibians in a natural habitat. </w:t>
      </w:r>
      <w:r w:rsidRPr="00146C93">
        <w:rPr>
          <w:rFonts w:ascii="Times New Roman" w:hAnsi="Times New Roman" w:cs="Times New Roman"/>
          <w:i/>
          <w:iCs/>
        </w:rPr>
        <w:t>FEMS Microbiology Ecology</w:t>
      </w:r>
      <w:r w:rsidRPr="00146C93">
        <w:rPr>
          <w:rFonts w:ascii="Times New Roman" w:hAnsi="Times New Roman" w:cs="Times New Roman"/>
        </w:rPr>
        <w:t xml:space="preserve">, </w:t>
      </w:r>
      <w:r w:rsidRPr="00146C93">
        <w:rPr>
          <w:rFonts w:ascii="Times New Roman" w:hAnsi="Times New Roman" w:cs="Times New Roman"/>
          <w:i/>
          <w:iCs/>
        </w:rPr>
        <w:t>97</w:t>
      </w:r>
      <w:r w:rsidRPr="00146C93">
        <w:rPr>
          <w:rFonts w:ascii="Times New Roman" w:hAnsi="Times New Roman" w:cs="Times New Roman"/>
        </w:rPr>
        <w:t>.</w:t>
      </w:r>
    </w:p>
    <w:p w14:paraId="12AFF5A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Walke, J. B., Becker, M. H., Krinos, A., Chang, E. A. B., Santiago, C., Umile, T. P., Minbiole, K. P. C., &amp; Belden, L. K. (2020). Seasonal changes and the unexpected impact of environmental disturbance on skin bacteria of individual amphibians in a natural habitat. </w:t>
      </w:r>
      <w:r w:rsidRPr="00146C93">
        <w:rPr>
          <w:rFonts w:ascii="Times New Roman" w:hAnsi="Times New Roman" w:cs="Times New Roman"/>
          <w:i/>
          <w:iCs/>
        </w:rPr>
        <w:t>FEMS Microbiology Ecology</w:t>
      </w:r>
      <w:r w:rsidRPr="00146C93">
        <w:rPr>
          <w:rFonts w:ascii="Times New Roman" w:hAnsi="Times New Roman" w:cs="Times New Roman"/>
        </w:rPr>
        <w:t>, fiaa248. https://doi.org/10.1093/femsec/fiaa248</w:t>
      </w:r>
    </w:p>
    <w:p w14:paraId="036FEBE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Walke, J. B., Becker, M. H., Loftus, S. C., House, L. L., Cormier, G., Jensen, R. V., &amp; Belden, L. K. (2014). Amphibian skin may select for rare environmental microbes. </w:t>
      </w:r>
      <w:r w:rsidRPr="00146C93">
        <w:rPr>
          <w:rFonts w:ascii="Times New Roman" w:hAnsi="Times New Roman" w:cs="Times New Roman"/>
          <w:i/>
          <w:iCs/>
        </w:rPr>
        <w:t>The ISME Journal</w:t>
      </w:r>
      <w:r w:rsidRPr="00146C93">
        <w:rPr>
          <w:rFonts w:ascii="Times New Roman" w:hAnsi="Times New Roman" w:cs="Times New Roman"/>
        </w:rPr>
        <w:t xml:space="preserve">, </w:t>
      </w:r>
      <w:r w:rsidRPr="00146C93">
        <w:rPr>
          <w:rFonts w:ascii="Times New Roman" w:hAnsi="Times New Roman" w:cs="Times New Roman"/>
          <w:i/>
          <w:iCs/>
        </w:rPr>
        <w:t>8</w:t>
      </w:r>
      <w:r w:rsidRPr="00146C93">
        <w:rPr>
          <w:rFonts w:ascii="Times New Roman" w:hAnsi="Times New Roman" w:cs="Times New Roman"/>
        </w:rPr>
        <w:t>(11), 2207–2217. https://doi.org/10.1038/ismej.2014.77</w:t>
      </w:r>
    </w:p>
    <w:p w14:paraId="77BA97EB"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Walke, J. B., Becker, M. H., Loftus, S. C., House, L. L., Teotonio, T. L., Minbiole, K. P. C., &amp; Belden, L. K. (2015). Community Structure and Function of Amphibian Skin Microbes: An Experiment with Bullfrogs Exposed to a Chytrid Fungus.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(10), e0139848. https://doi.org/10.1371/journal.pone.0139848</w:t>
      </w:r>
    </w:p>
    <w:p w14:paraId="4C6314B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Walke, J. B., Harris, R. N., Reinert, L. K., Rollins‐Smith, L. A., &amp; Woodhams, D. C. (2011). Social Immunity in Amphibians: Evidence for Vertical Transmission of Innate Defenses. </w:t>
      </w:r>
      <w:r w:rsidRPr="00146C93">
        <w:rPr>
          <w:rFonts w:ascii="Times New Roman" w:hAnsi="Times New Roman" w:cs="Times New Roman"/>
          <w:i/>
          <w:iCs/>
        </w:rPr>
        <w:t>Biotropica</w:t>
      </w:r>
      <w:r w:rsidRPr="00146C93">
        <w:rPr>
          <w:rFonts w:ascii="Times New Roman" w:hAnsi="Times New Roman" w:cs="Times New Roman"/>
        </w:rPr>
        <w:t xml:space="preserve">, </w:t>
      </w:r>
      <w:r w:rsidRPr="00146C93">
        <w:rPr>
          <w:rFonts w:ascii="Times New Roman" w:hAnsi="Times New Roman" w:cs="Times New Roman"/>
          <w:i/>
          <w:iCs/>
        </w:rPr>
        <w:t>43</w:t>
      </w:r>
      <w:r w:rsidRPr="00146C93">
        <w:rPr>
          <w:rFonts w:ascii="Times New Roman" w:hAnsi="Times New Roman" w:cs="Times New Roman"/>
        </w:rPr>
        <w:t>(4), 396–400. https://doi.org/10.1111/j.1744-7429.2011.00787.x</w:t>
      </w:r>
    </w:p>
    <w:p w14:paraId="101FBF5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Walker, D. M., &amp; Lawrence, B. R. (2015). A Novel Protocol for Washing Environmental Microbes from Amphibian Skin. </w:t>
      </w:r>
      <w:r w:rsidRPr="00146C93">
        <w:rPr>
          <w:rFonts w:ascii="Times New Roman" w:hAnsi="Times New Roman" w:cs="Times New Roman"/>
          <w:i/>
          <w:iCs/>
        </w:rPr>
        <w:t>Herpetological Review</w:t>
      </w:r>
      <w:r w:rsidRPr="00146C93">
        <w:rPr>
          <w:rFonts w:ascii="Times New Roman" w:hAnsi="Times New Roman" w:cs="Times New Roman"/>
        </w:rPr>
        <w:t xml:space="preserve">, </w:t>
      </w:r>
      <w:r w:rsidRPr="00146C93">
        <w:rPr>
          <w:rFonts w:ascii="Times New Roman" w:hAnsi="Times New Roman" w:cs="Times New Roman"/>
          <w:i/>
          <w:iCs/>
        </w:rPr>
        <w:t>46</w:t>
      </w:r>
      <w:r w:rsidRPr="00146C93">
        <w:rPr>
          <w:rFonts w:ascii="Times New Roman" w:hAnsi="Times New Roman" w:cs="Times New Roman"/>
        </w:rPr>
        <w:t>(3), 349–353.</w:t>
      </w:r>
    </w:p>
    <w:p w14:paraId="2CFBA81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Waser, N. M., Chittka, L., Price, M. V., Williams, N. M., &amp; Ollerton, J. (1996). Generalization in Pollination Systems, and Why it Matters. </w:t>
      </w:r>
      <w:r w:rsidRPr="00146C93">
        <w:rPr>
          <w:rFonts w:ascii="Times New Roman" w:hAnsi="Times New Roman" w:cs="Times New Roman"/>
          <w:i/>
          <w:iCs/>
        </w:rPr>
        <w:t>Ecology</w:t>
      </w:r>
      <w:r w:rsidRPr="00146C93">
        <w:rPr>
          <w:rFonts w:ascii="Times New Roman" w:hAnsi="Times New Roman" w:cs="Times New Roman"/>
        </w:rPr>
        <w:t xml:space="preserve">, </w:t>
      </w:r>
      <w:r w:rsidRPr="00146C93">
        <w:rPr>
          <w:rFonts w:ascii="Times New Roman" w:hAnsi="Times New Roman" w:cs="Times New Roman"/>
          <w:i/>
          <w:iCs/>
        </w:rPr>
        <w:t>77</w:t>
      </w:r>
      <w:r w:rsidRPr="00146C93">
        <w:rPr>
          <w:rFonts w:ascii="Times New Roman" w:hAnsi="Times New Roman" w:cs="Times New Roman"/>
        </w:rPr>
        <w:t>(4), 1043–1060. https://doi.org/10.2307/2265575</w:t>
      </w:r>
    </w:p>
    <w:p w14:paraId="4D6D865A"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Wax, N., Walke, J. B., Haak, D. C., &amp; Belden, L. K. (2023). Comparative genomics of bacteria from amphibian skin associated with inhibition of an amphibian fungal pathogen, </w:t>
      </w:r>
      <w:r w:rsidRPr="00F45682">
        <w:rPr>
          <w:rFonts w:ascii="Times New Roman" w:hAnsi="Times New Roman" w:cs="Times New Roman"/>
          <w:i/>
          <w:iCs/>
        </w:rPr>
        <w:t>Batrachochytrium dendrobatidis.</w:t>
      </w:r>
      <w:r w:rsidRPr="00146C93">
        <w:rPr>
          <w:rFonts w:ascii="Times New Roman" w:hAnsi="Times New Roman" w:cs="Times New Roman"/>
        </w:rPr>
        <w:t xml:space="preserve"> </w:t>
      </w:r>
      <w:r w:rsidRPr="00146C93">
        <w:rPr>
          <w:rFonts w:ascii="Times New Roman" w:hAnsi="Times New Roman" w:cs="Times New Roman"/>
          <w:i/>
          <w:iCs/>
        </w:rPr>
        <w:t>PeerJ</w:t>
      </w:r>
      <w:r w:rsidRPr="00146C93">
        <w:rPr>
          <w:rFonts w:ascii="Times New Roman" w:hAnsi="Times New Roman" w:cs="Times New Roman"/>
        </w:rPr>
        <w:t xml:space="preserve">, </w:t>
      </w:r>
      <w:r w:rsidRPr="00146C93">
        <w:rPr>
          <w:rFonts w:ascii="Times New Roman" w:hAnsi="Times New Roman" w:cs="Times New Roman"/>
          <w:i/>
          <w:iCs/>
        </w:rPr>
        <w:t>11</w:t>
      </w:r>
      <w:r w:rsidRPr="00146C93">
        <w:rPr>
          <w:rFonts w:ascii="Times New Roman" w:hAnsi="Times New Roman" w:cs="Times New Roman"/>
        </w:rPr>
        <w:t>, e15714. https://doi.org/10.7717/peerj.15714</w:t>
      </w:r>
    </w:p>
    <w:p w14:paraId="7DC80368"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Webb, C. O., Ackerly, D. D., &amp; Kembel, S. W. (2008). Phylocom: Software for the analysis of phylogenetic community structure and trait evolution. </w:t>
      </w:r>
      <w:r w:rsidRPr="00146C93">
        <w:rPr>
          <w:rFonts w:ascii="Times New Roman" w:hAnsi="Times New Roman" w:cs="Times New Roman"/>
          <w:i/>
          <w:iCs/>
        </w:rPr>
        <w:t>Bioinformatics (Oxford, England)</w:t>
      </w:r>
      <w:r w:rsidRPr="00146C93">
        <w:rPr>
          <w:rFonts w:ascii="Times New Roman" w:hAnsi="Times New Roman" w:cs="Times New Roman"/>
        </w:rPr>
        <w:t xml:space="preserve">, </w:t>
      </w:r>
      <w:r w:rsidRPr="00146C93">
        <w:rPr>
          <w:rFonts w:ascii="Times New Roman" w:hAnsi="Times New Roman" w:cs="Times New Roman"/>
          <w:i/>
          <w:iCs/>
        </w:rPr>
        <w:t>24</w:t>
      </w:r>
      <w:r w:rsidRPr="00146C93">
        <w:rPr>
          <w:rFonts w:ascii="Times New Roman" w:hAnsi="Times New Roman" w:cs="Times New Roman"/>
        </w:rPr>
        <w:t>(18), 2098–2100. https://doi.org/10.1093/bioinformatics/btn358</w:t>
      </w:r>
    </w:p>
    <w:p w14:paraId="7D37AF6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Weeks, D. M., Parris, M. J., &amp; Brown, S. P. (2020). Recovery and resiliency of skin microbial communities on the southern leopard frog (</w:t>
      </w:r>
      <w:r w:rsidRPr="00641969">
        <w:rPr>
          <w:rFonts w:ascii="Times New Roman" w:hAnsi="Times New Roman" w:cs="Times New Roman"/>
          <w:i/>
          <w:iCs/>
        </w:rPr>
        <w:t>Lithobates sphenocephalus</w:t>
      </w:r>
      <w:r w:rsidRPr="00146C93">
        <w:rPr>
          <w:rFonts w:ascii="Times New Roman" w:hAnsi="Times New Roman" w:cs="Times New Roman"/>
        </w:rPr>
        <w:t xml:space="preserve">) following two biotic disturbances. </w:t>
      </w:r>
      <w:r w:rsidRPr="00146C93">
        <w:rPr>
          <w:rFonts w:ascii="Times New Roman" w:hAnsi="Times New Roman" w:cs="Times New Roman"/>
          <w:i/>
          <w:iCs/>
        </w:rPr>
        <w:t>Animal Microbiome</w:t>
      </w:r>
      <w:r w:rsidRPr="00146C93">
        <w:rPr>
          <w:rFonts w:ascii="Times New Roman" w:hAnsi="Times New Roman" w:cs="Times New Roman"/>
        </w:rPr>
        <w:t xml:space="preserve">, </w:t>
      </w:r>
      <w:r w:rsidRPr="00146C93">
        <w:rPr>
          <w:rFonts w:ascii="Times New Roman" w:hAnsi="Times New Roman" w:cs="Times New Roman"/>
          <w:i/>
          <w:iCs/>
        </w:rPr>
        <w:t>2</w:t>
      </w:r>
      <w:r w:rsidRPr="00146C93">
        <w:rPr>
          <w:rFonts w:ascii="Times New Roman" w:hAnsi="Times New Roman" w:cs="Times New Roman"/>
        </w:rPr>
        <w:t>(1), 35. https://doi.org/10.1186/s42523-020-00053-5</w:t>
      </w:r>
    </w:p>
    <w:p w14:paraId="5C500D2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Weiss, S., Xu, Z. Z., Peddada, S., Amir, A., Bittinger, K., Gonzalez, A., Lozupone, C., Zaneveld, J. R., Vázquez-Baeza, Y., Birmingham, A., Hyde, E. R., &amp; Knight, R. (2017). Normalization and microbial differential abundance strategies depend upon data characteristics. </w:t>
      </w:r>
      <w:r w:rsidRPr="00146C93">
        <w:rPr>
          <w:rFonts w:ascii="Times New Roman" w:hAnsi="Times New Roman" w:cs="Times New Roman"/>
          <w:i/>
          <w:iCs/>
        </w:rPr>
        <w:t>Microbiome</w:t>
      </w:r>
      <w:r w:rsidRPr="00146C93">
        <w:rPr>
          <w:rFonts w:ascii="Times New Roman" w:hAnsi="Times New Roman" w:cs="Times New Roman"/>
        </w:rPr>
        <w:t xml:space="preserve">, </w:t>
      </w:r>
      <w:r w:rsidRPr="00146C93">
        <w:rPr>
          <w:rFonts w:ascii="Times New Roman" w:hAnsi="Times New Roman" w:cs="Times New Roman"/>
          <w:i/>
          <w:iCs/>
        </w:rPr>
        <w:t>5</w:t>
      </w:r>
      <w:r w:rsidRPr="00146C93">
        <w:rPr>
          <w:rFonts w:ascii="Times New Roman" w:hAnsi="Times New Roman" w:cs="Times New Roman"/>
        </w:rPr>
        <w:t>(1), 27. https://doi.org/10.1186/s40168-017-0237-y</w:t>
      </w:r>
    </w:p>
    <w:p w14:paraId="0615872F"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lastRenderedPageBreak/>
        <w:t xml:space="preserve">Wells, K. D. (2010). </w:t>
      </w:r>
      <w:r w:rsidRPr="00146C93">
        <w:rPr>
          <w:rFonts w:ascii="Times New Roman" w:hAnsi="Times New Roman" w:cs="Times New Roman"/>
          <w:i/>
          <w:iCs/>
        </w:rPr>
        <w:t>The Ecology and Behavior of Amphibians</w:t>
      </w:r>
      <w:r w:rsidRPr="00146C93">
        <w:rPr>
          <w:rFonts w:ascii="Times New Roman" w:hAnsi="Times New Roman" w:cs="Times New Roman"/>
        </w:rPr>
        <w:t>. University of Chicago Press.</w:t>
      </w:r>
    </w:p>
    <w:p w14:paraId="02EFCCC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Whittaker, R. H. (1972). Evolution and Measurement of Species Diversity. </w:t>
      </w:r>
      <w:r w:rsidRPr="00146C93">
        <w:rPr>
          <w:rFonts w:ascii="Times New Roman" w:hAnsi="Times New Roman" w:cs="Times New Roman"/>
          <w:i/>
          <w:iCs/>
        </w:rPr>
        <w:t>TAXON</w:t>
      </w:r>
      <w:r w:rsidRPr="00146C93">
        <w:rPr>
          <w:rFonts w:ascii="Times New Roman" w:hAnsi="Times New Roman" w:cs="Times New Roman"/>
        </w:rPr>
        <w:t xml:space="preserve">, </w:t>
      </w:r>
      <w:r w:rsidRPr="00146C93">
        <w:rPr>
          <w:rFonts w:ascii="Times New Roman" w:hAnsi="Times New Roman" w:cs="Times New Roman"/>
          <w:i/>
          <w:iCs/>
        </w:rPr>
        <w:t>21</w:t>
      </w:r>
      <w:r w:rsidRPr="00146C93">
        <w:rPr>
          <w:rFonts w:ascii="Times New Roman" w:hAnsi="Times New Roman" w:cs="Times New Roman"/>
        </w:rPr>
        <w:t>(2–3), 213–251. https://doi.org/10.2307/1218190</w:t>
      </w:r>
    </w:p>
    <w:p w14:paraId="448F9255"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Wickham, H. (2016). </w:t>
      </w:r>
      <w:r w:rsidRPr="00146C93">
        <w:rPr>
          <w:rFonts w:ascii="Times New Roman" w:hAnsi="Times New Roman" w:cs="Times New Roman"/>
          <w:i/>
          <w:iCs/>
        </w:rPr>
        <w:t>ggplot2: Elegant Graphics for Data Analysis.</w:t>
      </w:r>
      <w:r w:rsidRPr="00146C93">
        <w:rPr>
          <w:rFonts w:ascii="Times New Roman" w:hAnsi="Times New Roman" w:cs="Times New Roman"/>
        </w:rPr>
        <w:t xml:space="preserve"> [Computer software].</w:t>
      </w:r>
    </w:p>
    <w:p w14:paraId="52EDAEE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Wilkinson, D. M., &amp; Sherratt, T. N. (2001). Horizontally Acquired Mutualisms, an Unsolved Problem in Ecology? </w:t>
      </w:r>
      <w:r w:rsidRPr="00146C93">
        <w:rPr>
          <w:rFonts w:ascii="Times New Roman" w:hAnsi="Times New Roman" w:cs="Times New Roman"/>
          <w:i/>
          <w:iCs/>
        </w:rPr>
        <w:t>Oikos</w:t>
      </w:r>
      <w:r w:rsidRPr="00146C93">
        <w:rPr>
          <w:rFonts w:ascii="Times New Roman" w:hAnsi="Times New Roman" w:cs="Times New Roman"/>
        </w:rPr>
        <w:t xml:space="preserve">, </w:t>
      </w:r>
      <w:r w:rsidRPr="00146C93">
        <w:rPr>
          <w:rFonts w:ascii="Times New Roman" w:hAnsi="Times New Roman" w:cs="Times New Roman"/>
          <w:i/>
          <w:iCs/>
        </w:rPr>
        <w:t>92</w:t>
      </w:r>
      <w:r w:rsidRPr="00146C93">
        <w:rPr>
          <w:rFonts w:ascii="Times New Roman" w:hAnsi="Times New Roman" w:cs="Times New Roman"/>
        </w:rPr>
        <w:t>(2), 377–384.</w:t>
      </w:r>
    </w:p>
    <w:p w14:paraId="035AE31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Willis, A. D. (2019). Rarefaction, Alpha Diversity, and Statistics. </w:t>
      </w:r>
      <w:r w:rsidRPr="00146C93">
        <w:rPr>
          <w:rFonts w:ascii="Times New Roman" w:hAnsi="Times New Roman" w:cs="Times New Roman"/>
          <w:i/>
          <w:iCs/>
        </w:rPr>
        <w:t>Frontiers in Microbiology</w:t>
      </w:r>
      <w:r w:rsidRPr="00146C93">
        <w:rPr>
          <w:rFonts w:ascii="Times New Roman" w:hAnsi="Times New Roman" w:cs="Times New Roman"/>
        </w:rPr>
        <w:t xml:space="preserve">, </w:t>
      </w:r>
      <w:r w:rsidRPr="00146C93">
        <w:rPr>
          <w:rFonts w:ascii="Times New Roman" w:hAnsi="Times New Roman" w:cs="Times New Roman"/>
          <w:i/>
          <w:iCs/>
        </w:rPr>
        <w:t>10</w:t>
      </w:r>
      <w:r w:rsidRPr="00146C93">
        <w:rPr>
          <w:rFonts w:ascii="Times New Roman" w:hAnsi="Times New Roman" w:cs="Times New Roman"/>
        </w:rPr>
        <w:t>. https://doi.org/10.3389/fmicb.2019.02407</w:t>
      </w:r>
    </w:p>
    <w:p w14:paraId="50C63AF9"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Wilson, E. O., &amp; MacArthur, R. H. (1967). </w:t>
      </w:r>
      <w:r w:rsidRPr="00146C93">
        <w:rPr>
          <w:rFonts w:ascii="Times New Roman" w:hAnsi="Times New Roman" w:cs="Times New Roman"/>
          <w:i/>
          <w:iCs/>
        </w:rPr>
        <w:t>The Theory of Island Biogeography</w:t>
      </w:r>
      <w:r w:rsidRPr="00146C93">
        <w:rPr>
          <w:rFonts w:ascii="Times New Roman" w:hAnsi="Times New Roman" w:cs="Times New Roman"/>
        </w:rPr>
        <w:t>. Princeton University Press.</w:t>
      </w:r>
    </w:p>
    <w:p w14:paraId="5FD151F3"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Wolz, C. R. M., Yarwood, S. A., Grant, E. H. C., Fleischer, R. C., &amp; Lips, K. R. (2018). Effects of host species and environment on the skin microbiome of Plethodontid salamanders. </w:t>
      </w:r>
      <w:r w:rsidRPr="00146C93">
        <w:rPr>
          <w:rFonts w:ascii="Times New Roman" w:hAnsi="Times New Roman" w:cs="Times New Roman"/>
          <w:i/>
          <w:iCs/>
        </w:rPr>
        <w:t>Journal of Animal Ecology</w:t>
      </w:r>
      <w:r w:rsidRPr="00146C93">
        <w:rPr>
          <w:rFonts w:ascii="Times New Roman" w:hAnsi="Times New Roman" w:cs="Times New Roman"/>
        </w:rPr>
        <w:t xml:space="preserve">, </w:t>
      </w:r>
      <w:r w:rsidRPr="00146C93">
        <w:rPr>
          <w:rFonts w:ascii="Times New Roman" w:hAnsi="Times New Roman" w:cs="Times New Roman"/>
          <w:i/>
          <w:iCs/>
        </w:rPr>
        <w:t>87</w:t>
      </w:r>
      <w:r w:rsidRPr="00146C93">
        <w:rPr>
          <w:rFonts w:ascii="Times New Roman" w:hAnsi="Times New Roman" w:cs="Times New Roman"/>
        </w:rPr>
        <w:t>(2), 341–353. https://doi.org/10.1111/1365-2656.12726</w:t>
      </w:r>
    </w:p>
    <w:p w14:paraId="7C41BBE7"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Woodhams, D. C., Alford, R. A., Antwis, R. E., Archer, H., Becker, M. H., Belden, L. K., Bell, S. C., Bletz, M., Daskin, J. H., Davis, L. R., Flechas, S. V., Lauer, A., Gonzalez, A., Harris, R. N., Holden, W. M., Hughey, M. C., Ibáñez, R., Knight, R., Kueneman, J., … McKenzie, V. (2015). Antifungal isolates database of amphibian skin-associated bacteria and function against emerging fungal pathogens. </w:t>
      </w:r>
      <w:r w:rsidRPr="00146C93">
        <w:rPr>
          <w:rFonts w:ascii="Times New Roman" w:hAnsi="Times New Roman" w:cs="Times New Roman"/>
          <w:i/>
          <w:iCs/>
        </w:rPr>
        <w:t>Ecology</w:t>
      </w:r>
      <w:r w:rsidRPr="00146C93">
        <w:rPr>
          <w:rFonts w:ascii="Times New Roman" w:hAnsi="Times New Roman" w:cs="Times New Roman"/>
        </w:rPr>
        <w:t xml:space="preserve">, </w:t>
      </w:r>
      <w:r w:rsidRPr="00146C93">
        <w:rPr>
          <w:rFonts w:ascii="Times New Roman" w:hAnsi="Times New Roman" w:cs="Times New Roman"/>
          <w:i/>
          <w:iCs/>
        </w:rPr>
        <w:t>96</w:t>
      </w:r>
      <w:r w:rsidRPr="00146C93">
        <w:rPr>
          <w:rFonts w:ascii="Times New Roman" w:hAnsi="Times New Roman" w:cs="Times New Roman"/>
        </w:rPr>
        <w:t>(2), 595–595. https://doi.org/10.1890/14-1837.1</w:t>
      </w:r>
    </w:p>
    <w:p w14:paraId="00D28AF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Woodhams, D. C., Brandt, H., Baumgartner, S., Kielgast, J., Küpfer, E., Tobler, U., Davis, L. R., Schmidt, B. R., Bel, C., Hodel, S., Knight, R., &amp; McKenzie, V. (2014). Interacting Symbionts and Immunity in the Amphibian Skin Mucosome Predict Disease Risk and Probiotic Effectiveness. </w:t>
      </w:r>
      <w:r w:rsidRPr="00146C93">
        <w:rPr>
          <w:rFonts w:ascii="Times New Roman" w:hAnsi="Times New Roman" w:cs="Times New Roman"/>
          <w:i/>
          <w:iCs/>
        </w:rPr>
        <w:t>PLoS ONE</w:t>
      </w:r>
      <w:r w:rsidRPr="00146C93">
        <w:rPr>
          <w:rFonts w:ascii="Times New Roman" w:hAnsi="Times New Roman" w:cs="Times New Roman"/>
        </w:rPr>
        <w:t xml:space="preserve">, </w:t>
      </w:r>
      <w:r w:rsidRPr="00146C93">
        <w:rPr>
          <w:rFonts w:ascii="Times New Roman" w:hAnsi="Times New Roman" w:cs="Times New Roman"/>
          <w:i/>
          <w:iCs/>
        </w:rPr>
        <w:t>9</w:t>
      </w:r>
      <w:r w:rsidRPr="00146C93">
        <w:rPr>
          <w:rFonts w:ascii="Times New Roman" w:hAnsi="Times New Roman" w:cs="Times New Roman"/>
        </w:rPr>
        <w:t>(4), e96375. https://doi.org/10.1371/journal.pone.0096375</w:t>
      </w:r>
    </w:p>
    <w:p w14:paraId="282953B0"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Woodhams, D. C., McCartney, J., Walke, J. B., &amp; Whetstone, R. (2023a). The adaptive microbiome hypothesis and immune interactions in amphibian mucus. </w:t>
      </w:r>
      <w:r w:rsidRPr="00146C93">
        <w:rPr>
          <w:rFonts w:ascii="Times New Roman" w:hAnsi="Times New Roman" w:cs="Times New Roman"/>
          <w:i/>
          <w:iCs/>
        </w:rPr>
        <w:t>Developmental &amp; Comparative Immunology</w:t>
      </w:r>
      <w:r w:rsidRPr="00146C93">
        <w:rPr>
          <w:rFonts w:ascii="Times New Roman" w:hAnsi="Times New Roman" w:cs="Times New Roman"/>
        </w:rPr>
        <w:t xml:space="preserve">, </w:t>
      </w:r>
      <w:r w:rsidRPr="00146C93">
        <w:rPr>
          <w:rFonts w:ascii="Times New Roman" w:hAnsi="Times New Roman" w:cs="Times New Roman"/>
          <w:i/>
          <w:iCs/>
        </w:rPr>
        <w:t>145</w:t>
      </w:r>
      <w:r w:rsidRPr="00146C93">
        <w:rPr>
          <w:rFonts w:ascii="Times New Roman" w:hAnsi="Times New Roman" w:cs="Times New Roman"/>
        </w:rPr>
        <w:t>, 104690. https://doi.org/10.1016/j.dci.2023.104690</w:t>
      </w:r>
    </w:p>
    <w:p w14:paraId="547C3E62"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Woodhams, D. C., McCartney, J., Walke, J. B., &amp; Whetstone, R. (2023b). The adaptive microbiome hypothesis and immune interactions in amphibian mucus. </w:t>
      </w:r>
      <w:r w:rsidRPr="00146C93">
        <w:rPr>
          <w:rFonts w:ascii="Times New Roman" w:hAnsi="Times New Roman" w:cs="Times New Roman"/>
          <w:i/>
          <w:iCs/>
        </w:rPr>
        <w:t>Developmental &amp; Comparative Immunology</w:t>
      </w:r>
      <w:r w:rsidRPr="00146C93">
        <w:rPr>
          <w:rFonts w:ascii="Times New Roman" w:hAnsi="Times New Roman" w:cs="Times New Roman"/>
        </w:rPr>
        <w:t xml:space="preserve">, </w:t>
      </w:r>
      <w:r w:rsidRPr="00146C93">
        <w:rPr>
          <w:rFonts w:ascii="Times New Roman" w:hAnsi="Times New Roman" w:cs="Times New Roman"/>
          <w:i/>
          <w:iCs/>
        </w:rPr>
        <w:t>145</w:t>
      </w:r>
      <w:r w:rsidRPr="00146C93">
        <w:rPr>
          <w:rFonts w:ascii="Times New Roman" w:hAnsi="Times New Roman" w:cs="Times New Roman"/>
        </w:rPr>
        <w:t>, 104690. https://doi.org/10.1016/j.dci.2023.104690</w:t>
      </w:r>
    </w:p>
    <w:p w14:paraId="3D722AD4"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Wooldridge, S. (2010). Is the coral-algae symbiosis really “mutually beneficial” for the partners? </w:t>
      </w:r>
      <w:r w:rsidRPr="00146C93">
        <w:rPr>
          <w:rFonts w:ascii="Times New Roman" w:hAnsi="Times New Roman" w:cs="Times New Roman"/>
          <w:i/>
          <w:iCs/>
        </w:rPr>
        <w:t>BioEssays : News and Reviews in Molecular, Cellular and Developmental Biology</w:t>
      </w:r>
      <w:r w:rsidRPr="00146C93">
        <w:rPr>
          <w:rFonts w:ascii="Times New Roman" w:hAnsi="Times New Roman" w:cs="Times New Roman"/>
        </w:rPr>
        <w:t xml:space="preserve">, </w:t>
      </w:r>
      <w:r w:rsidRPr="00146C93">
        <w:rPr>
          <w:rFonts w:ascii="Times New Roman" w:hAnsi="Times New Roman" w:cs="Times New Roman"/>
          <w:i/>
          <w:iCs/>
        </w:rPr>
        <w:t>32</w:t>
      </w:r>
      <w:r w:rsidRPr="00146C93">
        <w:rPr>
          <w:rFonts w:ascii="Times New Roman" w:hAnsi="Times New Roman" w:cs="Times New Roman"/>
        </w:rPr>
        <w:t>, 615–625. https://doi.org/10.1002/bies.200900182</w:t>
      </w:r>
    </w:p>
    <w:p w14:paraId="5FE1D47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Xu, L., Xiang, M., Zhu, W., Zhang, M., Chen, H., Huang, J., Chen, Y., Chang, Q., Jiang, J., &amp; Zhu, L. (2020). The Behavior of Amphibians Shapes Their Symbiotic Microbiomes. </w:t>
      </w:r>
      <w:r w:rsidRPr="00146C93">
        <w:rPr>
          <w:rFonts w:ascii="Times New Roman" w:hAnsi="Times New Roman" w:cs="Times New Roman"/>
          <w:i/>
          <w:iCs/>
        </w:rPr>
        <w:t>mSystems</w:t>
      </w:r>
      <w:r w:rsidRPr="00146C93">
        <w:rPr>
          <w:rFonts w:ascii="Times New Roman" w:hAnsi="Times New Roman" w:cs="Times New Roman"/>
        </w:rPr>
        <w:t xml:space="preserve">, </w:t>
      </w:r>
      <w:r w:rsidRPr="00146C93">
        <w:rPr>
          <w:rFonts w:ascii="Times New Roman" w:hAnsi="Times New Roman" w:cs="Times New Roman"/>
          <w:i/>
          <w:iCs/>
        </w:rPr>
        <w:t>5</w:t>
      </w:r>
      <w:r w:rsidRPr="00146C93">
        <w:rPr>
          <w:rFonts w:ascii="Times New Roman" w:hAnsi="Times New Roman" w:cs="Times New Roman"/>
        </w:rPr>
        <w:t>. https://doi.org/10.1128/ mSystems.00626-20.</w:t>
      </w:r>
    </w:p>
    <w:p w14:paraId="75A1B891"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Xu, X., &amp; Lai, R. (2015). The Chemistry and Biological Activities of Peptides from Amphibian Skin Secretions. </w:t>
      </w:r>
      <w:r w:rsidRPr="00146C93">
        <w:rPr>
          <w:rFonts w:ascii="Times New Roman" w:hAnsi="Times New Roman" w:cs="Times New Roman"/>
          <w:i/>
          <w:iCs/>
        </w:rPr>
        <w:t>Chemical Reviews</w:t>
      </w:r>
      <w:r w:rsidRPr="00146C93">
        <w:rPr>
          <w:rFonts w:ascii="Times New Roman" w:hAnsi="Times New Roman" w:cs="Times New Roman"/>
        </w:rPr>
        <w:t xml:space="preserve">, </w:t>
      </w:r>
      <w:r w:rsidRPr="00146C93">
        <w:rPr>
          <w:rFonts w:ascii="Times New Roman" w:hAnsi="Times New Roman" w:cs="Times New Roman"/>
          <w:i/>
          <w:iCs/>
        </w:rPr>
        <w:t>115</w:t>
      </w:r>
      <w:r w:rsidRPr="00146C93">
        <w:rPr>
          <w:rFonts w:ascii="Times New Roman" w:hAnsi="Times New Roman" w:cs="Times New Roman"/>
        </w:rPr>
        <w:t>(4), 1760–1846. https://doi.org/10.1021/cr4006704</w:t>
      </w:r>
    </w:p>
    <w:p w14:paraId="583287DD"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Yap, T. A., Nguyen, N. T., Serr, M., Shepack, A., &amp; Vredenburg, V. T. (2017). </w:t>
      </w:r>
      <w:r w:rsidRPr="00F45682">
        <w:rPr>
          <w:rFonts w:ascii="Times New Roman" w:hAnsi="Times New Roman" w:cs="Times New Roman"/>
          <w:i/>
          <w:iCs/>
        </w:rPr>
        <w:t>Batrachochytrium salamandrivorans</w:t>
      </w:r>
      <w:r w:rsidRPr="00146C93">
        <w:rPr>
          <w:rFonts w:ascii="Times New Roman" w:hAnsi="Times New Roman" w:cs="Times New Roman"/>
        </w:rPr>
        <w:t xml:space="preserve"> and the Risk of a Second Amphibian Pandemic. </w:t>
      </w:r>
      <w:r w:rsidRPr="00146C93">
        <w:rPr>
          <w:rFonts w:ascii="Times New Roman" w:hAnsi="Times New Roman" w:cs="Times New Roman"/>
          <w:i/>
          <w:iCs/>
        </w:rPr>
        <w:t>EcoHealth</w:t>
      </w:r>
      <w:r w:rsidRPr="00146C93">
        <w:rPr>
          <w:rFonts w:ascii="Times New Roman" w:hAnsi="Times New Roman" w:cs="Times New Roman"/>
        </w:rPr>
        <w:t xml:space="preserve">, </w:t>
      </w:r>
      <w:r w:rsidRPr="00146C93">
        <w:rPr>
          <w:rFonts w:ascii="Times New Roman" w:hAnsi="Times New Roman" w:cs="Times New Roman"/>
          <w:i/>
          <w:iCs/>
        </w:rPr>
        <w:t>14</w:t>
      </w:r>
      <w:r w:rsidRPr="00146C93">
        <w:rPr>
          <w:rFonts w:ascii="Times New Roman" w:hAnsi="Times New Roman" w:cs="Times New Roman"/>
        </w:rPr>
        <w:t>(4), 851–864. https://doi.org/10.1007/s10393-017-1278-1</w:t>
      </w:r>
    </w:p>
    <w:p w14:paraId="2593066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Yeap, H. L., Endersby-Harshman, N. M., &amp; Hoffmann, A. A. (2018). The Effect of Nonrandom Mating on Wolbachia Dynamics: Implications for Population Replacement and Sterile </w:t>
      </w:r>
      <w:r w:rsidRPr="00146C93">
        <w:rPr>
          <w:rFonts w:ascii="Times New Roman" w:hAnsi="Times New Roman" w:cs="Times New Roman"/>
        </w:rPr>
        <w:lastRenderedPageBreak/>
        <w:t xml:space="preserve">Releases in Aedes Mosquitoes. </w:t>
      </w:r>
      <w:r w:rsidRPr="00146C93">
        <w:rPr>
          <w:rFonts w:ascii="Times New Roman" w:hAnsi="Times New Roman" w:cs="Times New Roman"/>
          <w:i/>
          <w:iCs/>
        </w:rPr>
        <w:t>The American Journal of Tropical Medicine and Hygiene</w:t>
      </w:r>
      <w:r w:rsidRPr="00146C93">
        <w:rPr>
          <w:rFonts w:ascii="Times New Roman" w:hAnsi="Times New Roman" w:cs="Times New Roman"/>
        </w:rPr>
        <w:t xml:space="preserve">, </w:t>
      </w:r>
      <w:r w:rsidRPr="00146C93">
        <w:rPr>
          <w:rFonts w:ascii="Times New Roman" w:hAnsi="Times New Roman" w:cs="Times New Roman"/>
          <w:i/>
          <w:iCs/>
        </w:rPr>
        <w:t>99</w:t>
      </w:r>
      <w:r w:rsidRPr="00146C93">
        <w:rPr>
          <w:rFonts w:ascii="Times New Roman" w:hAnsi="Times New Roman" w:cs="Times New Roman"/>
        </w:rPr>
        <w:t>(3), 608–617. https://doi.org/10.4269/ajtmh.18-0178</w:t>
      </w:r>
    </w:p>
    <w:p w14:paraId="146A2E9C" w14:textId="77777777" w:rsidR="00A961B9" w:rsidRPr="00146C93" w:rsidRDefault="00A961B9" w:rsidP="00A961B9">
      <w:pPr>
        <w:pStyle w:val="Bibliography"/>
        <w:spacing w:line="240" w:lineRule="auto"/>
        <w:rPr>
          <w:rFonts w:ascii="Times New Roman" w:hAnsi="Times New Roman" w:cs="Times New Roman"/>
        </w:rPr>
      </w:pPr>
      <w:r w:rsidRPr="00146C93">
        <w:rPr>
          <w:rFonts w:ascii="Times New Roman" w:hAnsi="Times New Roman" w:cs="Times New Roman"/>
        </w:rPr>
        <w:t xml:space="preserve">Zhou, J., &amp; Ning, D. (2017). Stochastic Community Assembly: Does It Matter in Microbial Ecology? </w:t>
      </w:r>
      <w:r w:rsidRPr="00146C93">
        <w:rPr>
          <w:rFonts w:ascii="Times New Roman" w:hAnsi="Times New Roman" w:cs="Times New Roman"/>
          <w:i/>
          <w:iCs/>
        </w:rPr>
        <w:t>Microbiology and Molecular Biology Reviews</w:t>
      </w:r>
      <w:r w:rsidRPr="00146C93">
        <w:rPr>
          <w:rFonts w:ascii="Times New Roman" w:hAnsi="Times New Roman" w:cs="Times New Roman"/>
        </w:rPr>
        <w:t xml:space="preserve">, </w:t>
      </w:r>
      <w:r w:rsidRPr="00146C93">
        <w:rPr>
          <w:rFonts w:ascii="Times New Roman" w:hAnsi="Times New Roman" w:cs="Times New Roman"/>
          <w:i/>
          <w:iCs/>
        </w:rPr>
        <w:t>81</w:t>
      </w:r>
      <w:r w:rsidRPr="00146C93">
        <w:rPr>
          <w:rFonts w:ascii="Times New Roman" w:hAnsi="Times New Roman" w:cs="Times New Roman"/>
        </w:rPr>
        <w:t>(4), e00002-17, e00002-17. https://doi.org/10.1128/MMBR.00002-17</w:t>
      </w:r>
    </w:p>
    <w:p w14:paraId="488AD430" w14:textId="77777777" w:rsidR="00A961B9" w:rsidRPr="00C57BCC" w:rsidRDefault="00A961B9" w:rsidP="00A961B9">
      <w:r w:rsidRPr="00146C93">
        <w:rPr>
          <w:rFonts w:ascii="Times New Roman" w:hAnsi="Times New Roman" w:cs="Times New Roman"/>
        </w:rPr>
        <w:fldChar w:fldCharType="end"/>
      </w:r>
    </w:p>
    <w:p w14:paraId="0446BC4C" w14:textId="0CFBB336" w:rsidR="006D7C47" w:rsidRPr="0003798D" w:rsidRDefault="00A961B9" w:rsidP="00A961B9">
      <w:pPr>
        <w:rPr>
          <w:rFonts w:ascii="Times" w:hAnsi="Times"/>
        </w:rPr>
      </w:pPr>
      <w:r>
        <w:rPr>
          <w:rFonts w:ascii="Times" w:hAnsi="Times"/>
        </w:rPr>
        <w:br w:type="page"/>
      </w:r>
    </w:p>
    <w:p w14:paraId="271ADA6E" w14:textId="292193CA" w:rsidR="0003798D" w:rsidRDefault="0003798D" w:rsidP="00A26202">
      <w:pPr>
        <w:pStyle w:val="Heading1"/>
        <w:rPr>
          <w:rFonts w:ascii="Times New Roman" w:hAnsi="Times New Roman" w:cs="Times New Roman"/>
        </w:rPr>
      </w:pPr>
      <w:bookmarkStart w:id="189" w:name="_Toc165028096"/>
      <w:r>
        <w:rPr>
          <w:rFonts w:ascii="Times New Roman" w:hAnsi="Times New Roman" w:cs="Times New Roman"/>
        </w:rPr>
        <w:lastRenderedPageBreak/>
        <w:t>Appendix</w:t>
      </w:r>
      <w:bookmarkEnd w:id="189"/>
    </w:p>
    <w:p w14:paraId="55E78C66" w14:textId="3B116C78" w:rsidR="0003798D" w:rsidRPr="00A22C18" w:rsidRDefault="0003798D" w:rsidP="00A26202"/>
    <w:p w14:paraId="6740E0ED" w14:textId="4373A310" w:rsidR="00122B3E" w:rsidRPr="00122B3E" w:rsidRDefault="00122B3E" w:rsidP="00A26202">
      <w:pPr>
        <w:pStyle w:val="Caption"/>
        <w:framePr w:hSpace="180" w:wrap="around" w:vAnchor="text" w:hAnchor="page" w:x="1402" w:y="560"/>
        <w:spacing w:before="0" w:after="0"/>
        <w:rPr>
          <w:rFonts w:ascii="Times New Roman" w:hAnsi="Times New Roman" w:cs="Times New Roman"/>
          <w:b w:val="0"/>
          <w:bCs w:val="0"/>
        </w:rPr>
      </w:pPr>
      <w:bookmarkStart w:id="190" w:name="_Toc165029038"/>
      <w:bookmarkStart w:id="191" w:name="_Toc165029356"/>
      <w:r w:rsidRPr="00122B3E">
        <w:rPr>
          <w:rFonts w:ascii="Times New Roman" w:hAnsi="Times New Roman" w:cs="Times New Roman"/>
          <w:b w:val="0"/>
          <w:bCs w:val="0"/>
        </w:rPr>
        <w:t>Table A</w:t>
      </w:r>
      <w:r>
        <w:rPr>
          <w:rFonts w:ascii="Times New Roman" w:hAnsi="Times New Roman" w:cs="Times New Roman"/>
          <w:b w:val="0"/>
          <w:bCs w:val="0"/>
        </w:rPr>
        <w:fldChar w:fldCharType="begin"/>
      </w:r>
      <w:r>
        <w:rPr>
          <w:rFonts w:ascii="Times New Roman" w:hAnsi="Times New Roman" w:cs="Times New Roman"/>
          <w:b w:val="0"/>
          <w:bCs w:val="0"/>
        </w:rPr>
        <w:instrText xml:space="preserve"> SEQ Table_A \* ARABIC </w:instrText>
      </w:r>
      <w:r>
        <w:rPr>
          <w:rFonts w:ascii="Times New Roman" w:hAnsi="Times New Roman" w:cs="Times New Roman"/>
          <w:b w:val="0"/>
          <w:bCs w:val="0"/>
        </w:rPr>
        <w:fldChar w:fldCharType="separate"/>
      </w:r>
      <w:r w:rsidR="001648DD">
        <w:rPr>
          <w:rFonts w:ascii="Times New Roman" w:hAnsi="Times New Roman" w:cs="Times New Roman"/>
          <w:b w:val="0"/>
          <w:bCs w:val="0"/>
          <w:noProof/>
        </w:rPr>
        <w:t>1</w:t>
      </w:r>
      <w:r>
        <w:rPr>
          <w:rFonts w:ascii="Times New Roman" w:hAnsi="Times New Roman" w:cs="Times New Roman"/>
          <w:b w:val="0"/>
          <w:bCs w:val="0"/>
        </w:rPr>
        <w:fldChar w:fldCharType="end"/>
      </w:r>
      <w:r w:rsidRPr="00122B3E">
        <w:rPr>
          <w:rFonts w:ascii="Times New Roman" w:hAnsi="Times New Roman" w:cs="Times New Roman"/>
          <w:b w:val="0"/>
          <w:bCs w:val="0"/>
        </w:rPr>
        <w:t>: Multi-level pattern analysis identifying indicator species for groups.</w:t>
      </w:r>
      <w:bookmarkEnd w:id="190"/>
      <w:bookmarkEnd w:id="191"/>
    </w:p>
    <w:p w14:paraId="543D01A6" w14:textId="56E596FC" w:rsidR="007B5A0E" w:rsidRPr="00633D42" w:rsidRDefault="007B5A0E" w:rsidP="00A26202">
      <w:pPr>
        <w:pStyle w:val="Caption"/>
        <w:spacing w:before="0" w:after="0" w:line="480" w:lineRule="auto"/>
        <w:rPr>
          <w:rFonts w:ascii="Times New Roman" w:hAnsi="Times New Roman" w:cs="Times New Roman"/>
          <w:b w:val="0"/>
          <w:bCs w:val="0"/>
        </w:rPr>
      </w:pPr>
    </w:p>
    <w:tbl>
      <w:tblPr>
        <w:tblpPr w:leftFromText="180" w:rightFromText="180" w:vertAnchor="text" w:horzAnchor="margin" w:tblpY="745"/>
        <w:tblW w:w="8725" w:type="dxa"/>
        <w:tblLook w:val="04A0" w:firstRow="1" w:lastRow="0" w:firstColumn="1" w:lastColumn="0" w:noHBand="0" w:noVBand="1"/>
      </w:tblPr>
      <w:tblGrid>
        <w:gridCol w:w="3400"/>
        <w:gridCol w:w="1620"/>
        <w:gridCol w:w="1995"/>
        <w:gridCol w:w="1710"/>
      </w:tblGrid>
      <w:tr w:rsidR="007B5A0E" w:rsidRPr="007B5A0E" w14:paraId="2DB8F876" w14:textId="77777777" w:rsidTr="00122B3E">
        <w:trPr>
          <w:trHeight w:val="320"/>
        </w:trPr>
        <w:tc>
          <w:tcPr>
            <w:tcW w:w="340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6F8388A" w14:textId="77777777" w:rsidR="007B5A0E" w:rsidRPr="007B5A0E" w:rsidRDefault="007B5A0E" w:rsidP="00122B3E">
            <w:pPr>
              <w:jc w:val="center"/>
              <w:rPr>
                <w:rFonts w:ascii="Times New Roman" w:hAnsi="Times New Roman" w:cs="Times New Roman"/>
                <w:b/>
                <w:bCs/>
                <w:color w:val="000000"/>
              </w:rPr>
            </w:pPr>
            <w:r w:rsidRPr="007B5A0E">
              <w:rPr>
                <w:rFonts w:ascii="Times New Roman" w:hAnsi="Times New Roman" w:cs="Times New Roman"/>
                <w:b/>
                <w:bCs/>
                <w:color w:val="000000"/>
              </w:rPr>
              <w:t>Indicator Species (</w:t>
            </w:r>
            <w:proofErr w:type="spellStart"/>
            <w:r w:rsidRPr="007B5A0E">
              <w:rPr>
                <w:rFonts w:ascii="Times New Roman" w:hAnsi="Times New Roman" w:cs="Times New Roman"/>
                <w:b/>
                <w:bCs/>
                <w:color w:val="000000"/>
              </w:rPr>
              <w:t>multipatt</w:t>
            </w:r>
            <w:proofErr w:type="spellEnd"/>
            <w:r w:rsidRPr="007B5A0E">
              <w:rPr>
                <w:rFonts w:ascii="Times New Roman" w:hAnsi="Times New Roman" w:cs="Times New Roman"/>
                <w:b/>
                <w:bCs/>
                <w:color w:val="000000"/>
              </w:rPr>
              <w:t>)</w:t>
            </w:r>
          </w:p>
        </w:tc>
        <w:tc>
          <w:tcPr>
            <w:tcW w:w="162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B9DCA2B" w14:textId="77777777" w:rsidR="007B5A0E" w:rsidRPr="007B5A0E" w:rsidRDefault="007B5A0E" w:rsidP="00122B3E">
            <w:pPr>
              <w:jc w:val="center"/>
              <w:rPr>
                <w:rFonts w:ascii="Times New Roman" w:hAnsi="Times New Roman" w:cs="Times New Roman"/>
                <w:b/>
                <w:bCs/>
                <w:color w:val="000000"/>
              </w:rPr>
            </w:pPr>
            <w:r w:rsidRPr="007B5A0E">
              <w:rPr>
                <w:rFonts w:ascii="Times New Roman" w:hAnsi="Times New Roman" w:cs="Times New Roman"/>
                <w:b/>
                <w:bCs/>
                <w:color w:val="000000"/>
              </w:rPr>
              <w:t>OTUs</w:t>
            </w:r>
          </w:p>
        </w:tc>
        <w:tc>
          <w:tcPr>
            <w:tcW w:w="199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F61AAC2" w14:textId="77777777" w:rsidR="007B5A0E" w:rsidRPr="007B5A0E" w:rsidRDefault="007B5A0E" w:rsidP="00122B3E">
            <w:pPr>
              <w:jc w:val="center"/>
              <w:rPr>
                <w:rFonts w:ascii="Times New Roman" w:hAnsi="Times New Roman" w:cs="Times New Roman"/>
                <w:b/>
                <w:bCs/>
                <w:color w:val="000000"/>
              </w:rPr>
            </w:pPr>
            <w:r w:rsidRPr="007B5A0E">
              <w:rPr>
                <w:rFonts w:ascii="Times New Roman" w:hAnsi="Times New Roman" w:cs="Times New Roman"/>
                <w:b/>
                <w:bCs/>
                <w:color w:val="000000"/>
              </w:rPr>
              <w:t>Species and Cover Objects</w:t>
            </w:r>
          </w:p>
        </w:tc>
        <w:tc>
          <w:tcPr>
            <w:tcW w:w="171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0E0DE31" w14:textId="77777777" w:rsidR="007B5A0E" w:rsidRPr="007B5A0E" w:rsidRDefault="007B5A0E" w:rsidP="00122B3E">
            <w:pPr>
              <w:jc w:val="center"/>
              <w:rPr>
                <w:rFonts w:ascii="Times New Roman" w:hAnsi="Times New Roman" w:cs="Times New Roman"/>
                <w:b/>
                <w:bCs/>
                <w:color w:val="000000"/>
              </w:rPr>
            </w:pPr>
            <w:r w:rsidRPr="007B5A0E">
              <w:rPr>
                <w:rFonts w:ascii="Times New Roman" w:hAnsi="Times New Roman" w:cs="Times New Roman"/>
                <w:b/>
                <w:bCs/>
                <w:color w:val="000000"/>
              </w:rPr>
              <w:t>All Salamanders</w:t>
            </w:r>
          </w:p>
        </w:tc>
      </w:tr>
      <w:tr w:rsidR="007B5A0E" w:rsidRPr="007B5A0E" w14:paraId="044680DC" w14:textId="77777777" w:rsidTr="00122B3E">
        <w:trPr>
          <w:trHeight w:val="320"/>
        </w:trPr>
        <w:tc>
          <w:tcPr>
            <w:tcW w:w="340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C20879B" w14:textId="77777777" w:rsidR="007B5A0E" w:rsidRPr="007B5A0E" w:rsidRDefault="007B5A0E" w:rsidP="00122B3E">
            <w:pPr>
              <w:jc w:val="center"/>
              <w:rPr>
                <w:rFonts w:ascii="Times New Roman" w:hAnsi="Times New Roman" w:cs="Times New Roman"/>
                <w:i/>
                <w:iCs/>
                <w:color w:val="000000"/>
              </w:rPr>
            </w:pPr>
            <w:r w:rsidRPr="007B5A0E">
              <w:rPr>
                <w:rFonts w:ascii="Times New Roman" w:hAnsi="Times New Roman" w:cs="Times New Roman"/>
                <w:i/>
                <w:iCs/>
                <w:color w:val="000000"/>
              </w:rPr>
              <w:t xml:space="preserve">D. </w:t>
            </w:r>
            <w:proofErr w:type="spellStart"/>
            <w:r w:rsidRPr="007B5A0E">
              <w:rPr>
                <w:rFonts w:ascii="Times New Roman" w:hAnsi="Times New Roman" w:cs="Times New Roman"/>
                <w:i/>
                <w:iCs/>
              </w:rPr>
              <w:t>gvnigeusgwotli</w:t>
            </w:r>
            <w:proofErr w:type="spellEnd"/>
          </w:p>
        </w:tc>
        <w:tc>
          <w:tcPr>
            <w:tcW w:w="1620" w:type="dxa"/>
            <w:tcBorders>
              <w:top w:val="nil"/>
              <w:left w:val="nil"/>
              <w:bottom w:val="single" w:sz="4" w:space="0" w:color="auto"/>
              <w:right w:val="single" w:sz="4" w:space="0" w:color="auto"/>
            </w:tcBorders>
            <w:shd w:val="clear" w:color="auto" w:fill="auto"/>
            <w:noWrap/>
            <w:vAlign w:val="center"/>
            <w:hideMark/>
          </w:tcPr>
          <w:p w14:paraId="76FF1CBF"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68</w:t>
            </w:r>
          </w:p>
        </w:tc>
        <w:tc>
          <w:tcPr>
            <w:tcW w:w="1995" w:type="dxa"/>
            <w:tcBorders>
              <w:top w:val="nil"/>
              <w:left w:val="nil"/>
              <w:bottom w:val="single" w:sz="4" w:space="0" w:color="auto"/>
              <w:right w:val="single" w:sz="4" w:space="0" w:color="auto"/>
            </w:tcBorders>
            <w:shd w:val="clear" w:color="auto" w:fill="auto"/>
            <w:noWrap/>
            <w:vAlign w:val="center"/>
            <w:hideMark/>
          </w:tcPr>
          <w:p w14:paraId="33FECA9E"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11</w:t>
            </w:r>
          </w:p>
        </w:tc>
        <w:tc>
          <w:tcPr>
            <w:tcW w:w="1710" w:type="dxa"/>
            <w:tcBorders>
              <w:top w:val="nil"/>
              <w:left w:val="nil"/>
              <w:bottom w:val="single" w:sz="4" w:space="0" w:color="auto"/>
              <w:right w:val="single" w:sz="4" w:space="0" w:color="auto"/>
            </w:tcBorders>
            <w:shd w:val="clear" w:color="auto" w:fill="auto"/>
            <w:noWrap/>
            <w:vAlign w:val="center"/>
            <w:hideMark/>
          </w:tcPr>
          <w:p w14:paraId="50AFD335"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5</w:t>
            </w:r>
          </w:p>
        </w:tc>
      </w:tr>
      <w:tr w:rsidR="007B5A0E" w:rsidRPr="007B5A0E" w14:paraId="695EB1CA"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1FCA1AEA" w14:textId="77777777" w:rsidR="007B5A0E" w:rsidRPr="007B5A0E" w:rsidRDefault="007B5A0E" w:rsidP="00122B3E">
            <w:pPr>
              <w:jc w:val="center"/>
              <w:rPr>
                <w:rFonts w:ascii="Times New Roman" w:hAnsi="Times New Roman" w:cs="Times New Roman"/>
                <w:i/>
                <w:iCs/>
                <w:color w:val="000000"/>
              </w:rPr>
            </w:pPr>
            <w:r w:rsidRPr="007B5A0E">
              <w:rPr>
                <w:rFonts w:ascii="Times New Roman" w:hAnsi="Times New Roman" w:cs="Times New Roman"/>
                <w:i/>
                <w:iCs/>
                <w:color w:val="000000"/>
              </w:rPr>
              <w:t xml:space="preserve">D. </w:t>
            </w:r>
            <w:proofErr w:type="spellStart"/>
            <w:r w:rsidRPr="007B5A0E">
              <w:rPr>
                <w:rFonts w:ascii="Times New Roman" w:hAnsi="Times New Roman" w:cs="Times New Roman"/>
                <w:i/>
                <w:iCs/>
                <w:color w:val="000000"/>
              </w:rPr>
              <w:t>conanti</w:t>
            </w:r>
            <w:proofErr w:type="spellEnd"/>
          </w:p>
        </w:tc>
        <w:tc>
          <w:tcPr>
            <w:tcW w:w="1620" w:type="dxa"/>
            <w:tcBorders>
              <w:top w:val="nil"/>
              <w:left w:val="nil"/>
              <w:bottom w:val="single" w:sz="4" w:space="0" w:color="auto"/>
              <w:right w:val="single" w:sz="4" w:space="0" w:color="auto"/>
            </w:tcBorders>
            <w:shd w:val="clear" w:color="auto" w:fill="F2F2F2" w:themeFill="background1" w:themeFillShade="F2"/>
            <w:noWrap/>
            <w:vAlign w:val="center"/>
            <w:hideMark/>
          </w:tcPr>
          <w:p w14:paraId="2777562E"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29</w:t>
            </w:r>
          </w:p>
        </w:tc>
        <w:tc>
          <w:tcPr>
            <w:tcW w:w="1995" w:type="dxa"/>
            <w:tcBorders>
              <w:top w:val="nil"/>
              <w:left w:val="nil"/>
              <w:bottom w:val="single" w:sz="4" w:space="0" w:color="auto"/>
              <w:right w:val="single" w:sz="4" w:space="0" w:color="auto"/>
            </w:tcBorders>
            <w:shd w:val="clear" w:color="auto" w:fill="F2F2F2" w:themeFill="background1" w:themeFillShade="F2"/>
            <w:noWrap/>
            <w:vAlign w:val="center"/>
            <w:hideMark/>
          </w:tcPr>
          <w:p w14:paraId="2831EE04"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7</w:t>
            </w:r>
          </w:p>
        </w:tc>
        <w:tc>
          <w:tcPr>
            <w:tcW w:w="1710" w:type="dxa"/>
            <w:tcBorders>
              <w:top w:val="nil"/>
              <w:left w:val="nil"/>
              <w:bottom w:val="single" w:sz="4" w:space="0" w:color="auto"/>
              <w:right w:val="single" w:sz="4" w:space="0" w:color="auto"/>
            </w:tcBorders>
            <w:shd w:val="clear" w:color="auto" w:fill="F2F2F2" w:themeFill="background1" w:themeFillShade="F2"/>
            <w:noWrap/>
            <w:vAlign w:val="center"/>
            <w:hideMark/>
          </w:tcPr>
          <w:p w14:paraId="1E84D7FC"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r w:rsidR="007B5A0E" w:rsidRPr="007B5A0E" w14:paraId="7ADEC6C7"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0D78B04" w14:textId="77777777" w:rsidR="007B5A0E" w:rsidRPr="007B5A0E" w:rsidRDefault="007B5A0E" w:rsidP="00122B3E">
            <w:pPr>
              <w:jc w:val="center"/>
              <w:rPr>
                <w:rFonts w:ascii="Times New Roman" w:hAnsi="Times New Roman" w:cs="Times New Roman"/>
                <w:i/>
                <w:iCs/>
                <w:color w:val="000000"/>
              </w:rPr>
            </w:pPr>
            <w:r w:rsidRPr="007B5A0E">
              <w:rPr>
                <w:rFonts w:ascii="Times New Roman" w:hAnsi="Times New Roman" w:cs="Times New Roman"/>
                <w:i/>
                <w:iCs/>
                <w:color w:val="000000"/>
              </w:rPr>
              <w:t xml:space="preserve">D. </w:t>
            </w:r>
            <w:proofErr w:type="spellStart"/>
            <w:r w:rsidRPr="007B5A0E">
              <w:rPr>
                <w:rFonts w:ascii="Times New Roman" w:hAnsi="Times New Roman" w:cs="Times New Roman"/>
                <w:i/>
                <w:iCs/>
                <w:color w:val="000000"/>
              </w:rPr>
              <w:t>monticola</w:t>
            </w:r>
            <w:proofErr w:type="spellEnd"/>
          </w:p>
        </w:tc>
        <w:tc>
          <w:tcPr>
            <w:tcW w:w="1620" w:type="dxa"/>
            <w:tcBorders>
              <w:top w:val="nil"/>
              <w:left w:val="nil"/>
              <w:bottom w:val="single" w:sz="4" w:space="0" w:color="auto"/>
              <w:right w:val="single" w:sz="4" w:space="0" w:color="auto"/>
            </w:tcBorders>
            <w:shd w:val="clear" w:color="auto" w:fill="auto"/>
            <w:noWrap/>
            <w:vAlign w:val="center"/>
            <w:hideMark/>
          </w:tcPr>
          <w:p w14:paraId="17FD033B"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49</w:t>
            </w:r>
          </w:p>
        </w:tc>
        <w:tc>
          <w:tcPr>
            <w:tcW w:w="1995" w:type="dxa"/>
            <w:tcBorders>
              <w:top w:val="nil"/>
              <w:left w:val="nil"/>
              <w:bottom w:val="single" w:sz="4" w:space="0" w:color="auto"/>
              <w:right w:val="single" w:sz="4" w:space="0" w:color="auto"/>
            </w:tcBorders>
            <w:shd w:val="clear" w:color="auto" w:fill="auto"/>
            <w:noWrap/>
            <w:vAlign w:val="center"/>
            <w:hideMark/>
          </w:tcPr>
          <w:p w14:paraId="60719BC3"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8</w:t>
            </w:r>
          </w:p>
        </w:tc>
        <w:tc>
          <w:tcPr>
            <w:tcW w:w="1710" w:type="dxa"/>
            <w:tcBorders>
              <w:top w:val="nil"/>
              <w:left w:val="nil"/>
              <w:bottom w:val="single" w:sz="4" w:space="0" w:color="auto"/>
              <w:right w:val="single" w:sz="4" w:space="0" w:color="auto"/>
            </w:tcBorders>
            <w:shd w:val="clear" w:color="auto" w:fill="auto"/>
            <w:noWrap/>
            <w:vAlign w:val="center"/>
            <w:hideMark/>
          </w:tcPr>
          <w:p w14:paraId="017183ED"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r w:rsidR="007B5A0E" w:rsidRPr="007B5A0E" w14:paraId="0A9C380E"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F7CBC86" w14:textId="01FFED1B" w:rsidR="007B5A0E" w:rsidRPr="007B5A0E" w:rsidRDefault="007B5A0E" w:rsidP="00122B3E">
            <w:pPr>
              <w:jc w:val="center"/>
              <w:rPr>
                <w:rFonts w:ascii="Times New Roman" w:hAnsi="Times New Roman" w:cs="Times New Roman"/>
                <w:i/>
                <w:iCs/>
                <w:color w:val="000000"/>
              </w:rPr>
            </w:pPr>
            <w:r w:rsidRPr="007B5A0E">
              <w:rPr>
                <w:rFonts w:ascii="Times New Roman" w:hAnsi="Times New Roman" w:cs="Times New Roman"/>
                <w:i/>
                <w:iCs/>
                <w:color w:val="000000"/>
              </w:rPr>
              <w:t>E.</w:t>
            </w:r>
            <w:r w:rsidR="00CB244F" w:rsidRPr="00CB244F">
              <w:rPr>
                <w:rFonts w:ascii="Times New Roman" w:hAnsi="Times New Roman" w:cs="Times New Roman"/>
              </w:rPr>
              <w:t xml:space="preserve"> cf.</w:t>
            </w:r>
            <w:r w:rsidR="00CB244F">
              <w:rPr>
                <w:rFonts w:ascii="Times New Roman" w:hAnsi="Times New Roman" w:cs="Times New Roman"/>
              </w:rPr>
              <w:t xml:space="preserve"> </w:t>
            </w:r>
            <w:proofErr w:type="spellStart"/>
            <w:r w:rsidRPr="007B5A0E">
              <w:rPr>
                <w:rFonts w:ascii="Times New Roman" w:hAnsi="Times New Roman" w:cs="Times New Roman"/>
                <w:i/>
                <w:iCs/>
                <w:color w:val="000000"/>
              </w:rPr>
              <w:t>wilderae</w:t>
            </w:r>
            <w:proofErr w:type="spellEnd"/>
          </w:p>
        </w:tc>
        <w:tc>
          <w:tcPr>
            <w:tcW w:w="1620" w:type="dxa"/>
            <w:tcBorders>
              <w:top w:val="nil"/>
              <w:left w:val="nil"/>
              <w:bottom w:val="single" w:sz="4" w:space="0" w:color="auto"/>
              <w:right w:val="single" w:sz="4" w:space="0" w:color="auto"/>
            </w:tcBorders>
            <w:shd w:val="clear" w:color="auto" w:fill="F2F2F2" w:themeFill="background1" w:themeFillShade="F2"/>
            <w:noWrap/>
            <w:vAlign w:val="center"/>
            <w:hideMark/>
          </w:tcPr>
          <w:p w14:paraId="7F594C33"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23</w:t>
            </w:r>
          </w:p>
        </w:tc>
        <w:tc>
          <w:tcPr>
            <w:tcW w:w="1995" w:type="dxa"/>
            <w:tcBorders>
              <w:top w:val="nil"/>
              <w:left w:val="nil"/>
              <w:bottom w:val="single" w:sz="4" w:space="0" w:color="auto"/>
              <w:right w:val="single" w:sz="4" w:space="0" w:color="auto"/>
            </w:tcBorders>
            <w:shd w:val="clear" w:color="auto" w:fill="F2F2F2" w:themeFill="background1" w:themeFillShade="F2"/>
            <w:noWrap/>
            <w:vAlign w:val="center"/>
            <w:hideMark/>
          </w:tcPr>
          <w:p w14:paraId="1FCD3378"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5</w:t>
            </w:r>
          </w:p>
        </w:tc>
        <w:tc>
          <w:tcPr>
            <w:tcW w:w="1710" w:type="dxa"/>
            <w:tcBorders>
              <w:top w:val="nil"/>
              <w:left w:val="nil"/>
              <w:bottom w:val="single" w:sz="4" w:space="0" w:color="auto"/>
              <w:right w:val="single" w:sz="4" w:space="0" w:color="auto"/>
            </w:tcBorders>
            <w:shd w:val="clear" w:color="auto" w:fill="F2F2F2" w:themeFill="background1" w:themeFillShade="F2"/>
            <w:noWrap/>
            <w:vAlign w:val="center"/>
            <w:hideMark/>
          </w:tcPr>
          <w:p w14:paraId="1E3C4E80"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r w:rsidR="007B5A0E" w:rsidRPr="007B5A0E" w14:paraId="3769A25B"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61F235D"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i/>
                <w:iCs/>
                <w:color w:val="000000"/>
              </w:rPr>
              <w:t xml:space="preserve">D. </w:t>
            </w:r>
            <w:proofErr w:type="spellStart"/>
            <w:r w:rsidRPr="007B5A0E">
              <w:rPr>
                <w:rFonts w:ascii="Times New Roman" w:hAnsi="Times New Roman" w:cs="Times New Roman"/>
                <w:i/>
                <w:iCs/>
                <w:color w:val="000000"/>
              </w:rPr>
              <w:t>conanti</w:t>
            </w:r>
            <w:proofErr w:type="spellEnd"/>
            <w:r w:rsidRPr="007B5A0E">
              <w:rPr>
                <w:rFonts w:ascii="Times New Roman" w:hAnsi="Times New Roman" w:cs="Times New Roman"/>
                <w:color w:val="000000"/>
              </w:rPr>
              <w:t xml:space="preserve"> (Cover)</w:t>
            </w:r>
          </w:p>
        </w:tc>
        <w:tc>
          <w:tcPr>
            <w:tcW w:w="1620" w:type="dxa"/>
            <w:tcBorders>
              <w:top w:val="nil"/>
              <w:left w:val="nil"/>
              <w:bottom w:val="single" w:sz="4" w:space="0" w:color="auto"/>
              <w:right w:val="single" w:sz="4" w:space="0" w:color="auto"/>
            </w:tcBorders>
            <w:shd w:val="clear" w:color="auto" w:fill="auto"/>
            <w:noWrap/>
            <w:vAlign w:val="center"/>
            <w:hideMark/>
          </w:tcPr>
          <w:p w14:paraId="139C7C0E"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94</w:t>
            </w:r>
          </w:p>
        </w:tc>
        <w:tc>
          <w:tcPr>
            <w:tcW w:w="1995" w:type="dxa"/>
            <w:tcBorders>
              <w:top w:val="nil"/>
              <w:left w:val="nil"/>
              <w:bottom w:val="single" w:sz="4" w:space="0" w:color="auto"/>
              <w:right w:val="single" w:sz="4" w:space="0" w:color="auto"/>
            </w:tcBorders>
            <w:shd w:val="clear" w:color="auto" w:fill="auto"/>
            <w:noWrap/>
            <w:vAlign w:val="center"/>
            <w:hideMark/>
          </w:tcPr>
          <w:p w14:paraId="754FF3AF"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c>
          <w:tcPr>
            <w:tcW w:w="1710" w:type="dxa"/>
            <w:tcBorders>
              <w:top w:val="nil"/>
              <w:left w:val="nil"/>
              <w:bottom w:val="single" w:sz="4" w:space="0" w:color="auto"/>
              <w:right w:val="single" w:sz="4" w:space="0" w:color="auto"/>
            </w:tcBorders>
            <w:shd w:val="clear" w:color="auto" w:fill="auto"/>
            <w:noWrap/>
            <w:vAlign w:val="center"/>
            <w:hideMark/>
          </w:tcPr>
          <w:p w14:paraId="17446F2C"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r w:rsidR="007B5A0E" w:rsidRPr="007B5A0E" w14:paraId="197BE762"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A865FD0"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i/>
                <w:iCs/>
                <w:color w:val="000000"/>
              </w:rPr>
              <w:t xml:space="preserve">D. </w:t>
            </w:r>
            <w:proofErr w:type="spellStart"/>
            <w:r w:rsidRPr="007B5A0E">
              <w:rPr>
                <w:rFonts w:ascii="Times New Roman" w:hAnsi="Times New Roman" w:cs="Times New Roman"/>
                <w:i/>
                <w:iCs/>
                <w:color w:val="000000"/>
              </w:rPr>
              <w:t>monticola</w:t>
            </w:r>
            <w:proofErr w:type="spellEnd"/>
            <w:r w:rsidRPr="007B5A0E">
              <w:rPr>
                <w:rFonts w:ascii="Times New Roman" w:hAnsi="Times New Roman" w:cs="Times New Roman"/>
                <w:color w:val="000000"/>
              </w:rPr>
              <w:t xml:space="preserve"> (Cover)</w:t>
            </w:r>
          </w:p>
        </w:tc>
        <w:tc>
          <w:tcPr>
            <w:tcW w:w="1620" w:type="dxa"/>
            <w:tcBorders>
              <w:top w:val="nil"/>
              <w:left w:val="nil"/>
              <w:bottom w:val="single" w:sz="4" w:space="0" w:color="auto"/>
              <w:right w:val="single" w:sz="4" w:space="0" w:color="auto"/>
            </w:tcBorders>
            <w:shd w:val="clear" w:color="auto" w:fill="F2F2F2" w:themeFill="background1" w:themeFillShade="F2"/>
            <w:noWrap/>
            <w:vAlign w:val="center"/>
            <w:hideMark/>
          </w:tcPr>
          <w:p w14:paraId="401697D6"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223</w:t>
            </w:r>
          </w:p>
        </w:tc>
        <w:tc>
          <w:tcPr>
            <w:tcW w:w="1995" w:type="dxa"/>
            <w:tcBorders>
              <w:top w:val="nil"/>
              <w:left w:val="nil"/>
              <w:bottom w:val="single" w:sz="4" w:space="0" w:color="auto"/>
              <w:right w:val="single" w:sz="4" w:space="0" w:color="auto"/>
            </w:tcBorders>
            <w:shd w:val="clear" w:color="auto" w:fill="F2F2F2" w:themeFill="background1" w:themeFillShade="F2"/>
            <w:noWrap/>
            <w:vAlign w:val="center"/>
            <w:hideMark/>
          </w:tcPr>
          <w:p w14:paraId="3DCBCE73"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c>
          <w:tcPr>
            <w:tcW w:w="1710" w:type="dxa"/>
            <w:tcBorders>
              <w:top w:val="nil"/>
              <w:left w:val="nil"/>
              <w:bottom w:val="single" w:sz="4" w:space="0" w:color="auto"/>
              <w:right w:val="single" w:sz="4" w:space="0" w:color="auto"/>
            </w:tcBorders>
            <w:shd w:val="clear" w:color="auto" w:fill="F2F2F2" w:themeFill="background1" w:themeFillShade="F2"/>
            <w:noWrap/>
            <w:vAlign w:val="center"/>
            <w:hideMark/>
          </w:tcPr>
          <w:p w14:paraId="4EBBE639"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r w:rsidR="007B5A0E" w:rsidRPr="007B5A0E" w14:paraId="3EDD5F8E"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16869CD"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i/>
                <w:iCs/>
                <w:color w:val="000000"/>
              </w:rPr>
              <w:t xml:space="preserve">D. </w:t>
            </w:r>
            <w:proofErr w:type="spellStart"/>
            <w:r w:rsidRPr="007B5A0E">
              <w:rPr>
                <w:rFonts w:ascii="Times New Roman" w:hAnsi="Times New Roman" w:cs="Times New Roman"/>
                <w:i/>
                <w:iCs/>
              </w:rPr>
              <w:t>gvnigeusgwotli</w:t>
            </w:r>
            <w:proofErr w:type="spellEnd"/>
            <w:r w:rsidRPr="007B5A0E">
              <w:rPr>
                <w:rFonts w:ascii="Times New Roman" w:hAnsi="Times New Roman" w:cs="Times New Roman"/>
                <w:color w:val="000000"/>
              </w:rPr>
              <w:t xml:space="preserve"> (Cover)</w:t>
            </w:r>
          </w:p>
        </w:tc>
        <w:tc>
          <w:tcPr>
            <w:tcW w:w="1620" w:type="dxa"/>
            <w:tcBorders>
              <w:top w:val="nil"/>
              <w:left w:val="nil"/>
              <w:bottom w:val="single" w:sz="4" w:space="0" w:color="auto"/>
              <w:right w:val="single" w:sz="4" w:space="0" w:color="auto"/>
            </w:tcBorders>
            <w:shd w:val="clear" w:color="auto" w:fill="auto"/>
            <w:noWrap/>
            <w:vAlign w:val="center"/>
            <w:hideMark/>
          </w:tcPr>
          <w:p w14:paraId="5DAFB716"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239</w:t>
            </w:r>
          </w:p>
        </w:tc>
        <w:tc>
          <w:tcPr>
            <w:tcW w:w="1995" w:type="dxa"/>
            <w:tcBorders>
              <w:top w:val="nil"/>
              <w:left w:val="nil"/>
              <w:bottom w:val="single" w:sz="4" w:space="0" w:color="auto"/>
              <w:right w:val="single" w:sz="4" w:space="0" w:color="auto"/>
            </w:tcBorders>
            <w:shd w:val="clear" w:color="auto" w:fill="auto"/>
            <w:noWrap/>
            <w:vAlign w:val="center"/>
            <w:hideMark/>
          </w:tcPr>
          <w:p w14:paraId="390FAA20"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c>
          <w:tcPr>
            <w:tcW w:w="1710" w:type="dxa"/>
            <w:tcBorders>
              <w:top w:val="nil"/>
              <w:left w:val="nil"/>
              <w:bottom w:val="single" w:sz="4" w:space="0" w:color="auto"/>
              <w:right w:val="single" w:sz="4" w:space="0" w:color="auto"/>
            </w:tcBorders>
            <w:shd w:val="clear" w:color="auto" w:fill="auto"/>
            <w:noWrap/>
            <w:vAlign w:val="center"/>
            <w:hideMark/>
          </w:tcPr>
          <w:p w14:paraId="28FE4D04"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r w:rsidR="007B5A0E" w:rsidRPr="007B5A0E" w14:paraId="3DF1DC58" w14:textId="77777777" w:rsidTr="00122B3E">
        <w:trPr>
          <w:trHeight w:val="380"/>
        </w:trPr>
        <w:tc>
          <w:tcPr>
            <w:tcW w:w="3400"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DA7A0E7" w14:textId="5237C8C6"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i/>
                <w:iCs/>
                <w:color w:val="000000"/>
              </w:rPr>
              <w:t xml:space="preserve">E. </w:t>
            </w:r>
            <w:r w:rsidR="00CB244F" w:rsidRPr="00CB244F">
              <w:rPr>
                <w:rFonts w:ascii="Times New Roman" w:hAnsi="Times New Roman" w:cs="Times New Roman"/>
              </w:rPr>
              <w:t>cf.</w:t>
            </w:r>
            <w:r w:rsidR="00CB244F">
              <w:rPr>
                <w:rFonts w:ascii="Times New Roman" w:hAnsi="Times New Roman" w:cs="Times New Roman"/>
              </w:rPr>
              <w:t xml:space="preserve"> </w:t>
            </w:r>
            <w:proofErr w:type="spellStart"/>
            <w:r w:rsidRPr="007B5A0E">
              <w:rPr>
                <w:rFonts w:ascii="Times New Roman" w:hAnsi="Times New Roman" w:cs="Times New Roman"/>
                <w:i/>
                <w:iCs/>
                <w:color w:val="000000"/>
              </w:rPr>
              <w:t>wilderae</w:t>
            </w:r>
            <w:proofErr w:type="spellEnd"/>
            <w:r w:rsidRPr="007B5A0E">
              <w:rPr>
                <w:rFonts w:ascii="Times New Roman" w:hAnsi="Times New Roman" w:cs="Times New Roman"/>
                <w:color w:val="000000"/>
              </w:rPr>
              <w:t xml:space="preserve"> (Cover)</w:t>
            </w:r>
          </w:p>
        </w:tc>
        <w:tc>
          <w:tcPr>
            <w:tcW w:w="1620" w:type="dxa"/>
            <w:tcBorders>
              <w:top w:val="nil"/>
              <w:left w:val="nil"/>
              <w:bottom w:val="single" w:sz="4" w:space="0" w:color="auto"/>
              <w:right w:val="single" w:sz="4" w:space="0" w:color="auto"/>
            </w:tcBorders>
            <w:shd w:val="clear" w:color="auto" w:fill="F2F2F2" w:themeFill="background1" w:themeFillShade="F2"/>
            <w:noWrap/>
            <w:vAlign w:val="center"/>
            <w:hideMark/>
          </w:tcPr>
          <w:p w14:paraId="32D4A159" w14:textId="77777777" w:rsidR="007B5A0E" w:rsidRPr="007B5A0E" w:rsidRDefault="007B5A0E" w:rsidP="00122B3E">
            <w:pPr>
              <w:jc w:val="center"/>
              <w:rPr>
                <w:rFonts w:ascii="Times New Roman" w:hAnsi="Times New Roman" w:cs="Times New Roman"/>
                <w:color w:val="000000"/>
              </w:rPr>
            </w:pPr>
            <w:r w:rsidRPr="007B5A0E">
              <w:rPr>
                <w:rFonts w:ascii="Times New Roman" w:hAnsi="Times New Roman" w:cs="Times New Roman"/>
                <w:color w:val="000000"/>
              </w:rPr>
              <w:t>121</w:t>
            </w:r>
          </w:p>
        </w:tc>
        <w:tc>
          <w:tcPr>
            <w:tcW w:w="1995" w:type="dxa"/>
            <w:tcBorders>
              <w:top w:val="nil"/>
              <w:left w:val="nil"/>
              <w:bottom w:val="single" w:sz="4" w:space="0" w:color="auto"/>
              <w:right w:val="single" w:sz="4" w:space="0" w:color="auto"/>
            </w:tcBorders>
            <w:shd w:val="clear" w:color="auto" w:fill="F2F2F2" w:themeFill="background1" w:themeFillShade="F2"/>
            <w:noWrap/>
            <w:vAlign w:val="center"/>
            <w:hideMark/>
          </w:tcPr>
          <w:p w14:paraId="223EAE99" w14:textId="77777777" w:rsidR="007B5A0E" w:rsidRPr="007B5A0E" w:rsidRDefault="007B5A0E" w:rsidP="00122B3E">
            <w:pPr>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c>
          <w:tcPr>
            <w:tcW w:w="1710" w:type="dxa"/>
            <w:tcBorders>
              <w:top w:val="nil"/>
              <w:left w:val="nil"/>
              <w:bottom w:val="single" w:sz="4" w:space="0" w:color="auto"/>
              <w:right w:val="single" w:sz="4" w:space="0" w:color="auto"/>
            </w:tcBorders>
            <w:shd w:val="clear" w:color="auto" w:fill="F2F2F2" w:themeFill="background1" w:themeFillShade="F2"/>
            <w:noWrap/>
            <w:vAlign w:val="center"/>
            <w:hideMark/>
          </w:tcPr>
          <w:p w14:paraId="59BCE033" w14:textId="77777777" w:rsidR="007B5A0E" w:rsidRPr="007B5A0E" w:rsidRDefault="007B5A0E" w:rsidP="00122B3E">
            <w:pPr>
              <w:keepNext/>
              <w:jc w:val="center"/>
              <w:rPr>
                <w:rFonts w:ascii="Times New Roman" w:hAnsi="Times New Roman" w:cs="Times New Roman"/>
                <w:color w:val="242424"/>
                <w:sz w:val="30"/>
                <w:szCs w:val="30"/>
              </w:rPr>
            </w:pPr>
            <w:r w:rsidRPr="007B5A0E">
              <w:rPr>
                <w:rFonts w:ascii="Times New Roman" w:hAnsi="Times New Roman" w:cs="Times New Roman"/>
                <w:color w:val="242424"/>
                <w:sz w:val="30"/>
                <w:szCs w:val="30"/>
              </w:rPr>
              <w:t>-</w:t>
            </w:r>
          </w:p>
        </w:tc>
      </w:tr>
    </w:tbl>
    <w:p w14:paraId="7163F467" w14:textId="6E7F9C25" w:rsidR="0003798D" w:rsidRPr="007B5A0E" w:rsidRDefault="0003798D" w:rsidP="007B5A0E">
      <w:pPr>
        <w:pStyle w:val="Caption"/>
        <w:jc w:val="center"/>
        <w:rPr>
          <w:rFonts w:ascii="Times New Roman" w:hAnsi="Times New Roman" w:cs="Times New Roman"/>
          <w:b w:val="0"/>
          <w:bCs w:val="0"/>
        </w:rPr>
        <w:sectPr w:rsidR="0003798D" w:rsidRPr="007B5A0E" w:rsidSect="00457804">
          <w:pgSz w:w="12240" w:h="15840" w:code="1"/>
          <w:pgMar w:top="1440" w:right="1440" w:bottom="1440" w:left="1440" w:header="720" w:footer="1440" w:gutter="0"/>
          <w:cols w:space="720"/>
          <w:noEndnote/>
          <w:docGrid w:linePitch="360"/>
        </w:sectPr>
      </w:pPr>
    </w:p>
    <w:p w14:paraId="0D81A774" w14:textId="6D92DB83" w:rsidR="00122B3E" w:rsidRPr="00122B3E" w:rsidRDefault="00122B3E" w:rsidP="00122B3E">
      <w:pPr>
        <w:pStyle w:val="Caption"/>
        <w:framePr w:hSpace="180" w:wrap="around" w:vAnchor="text" w:hAnchor="page" w:x="1473" w:y="-70"/>
        <w:rPr>
          <w:rFonts w:ascii="Times New Roman" w:hAnsi="Times New Roman" w:cs="Times New Roman"/>
          <w:b w:val="0"/>
          <w:bCs w:val="0"/>
        </w:rPr>
      </w:pPr>
      <w:bookmarkStart w:id="192" w:name="_Toc165029039"/>
      <w:bookmarkStart w:id="193" w:name="_Toc165029357"/>
      <w:r w:rsidRPr="00122B3E">
        <w:rPr>
          <w:rFonts w:ascii="Times New Roman" w:hAnsi="Times New Roman" w:cs="Times New Roman"/>
          <w:b w:val="0"/>
          <w:bCs w:val="0"/>
        </w:rPr>
        <w:lastRenderedPageBreak/>
        <w:t>Table A</w:t>
      </w:r>
      <w:r>
        <w:rPr>
          <w:rFonts w:ascii="Times New Roman" w:hAnsi="Times New Roman" w:cs="Times New Roman"/>
          <w:b w:val="0"/>
          <w:bCs w:val="0"/>
        </w:rPr>
        <w:fldChar w:fldCharType="begin"/>
      </w:r>
      <w:r>
        <w:rPr>
          <w:rFonts w:ascii="Times New Roman" w:hAnsi="Times New Roman" w:cs="Times New Roman"/>
          <w:b w:val="0"/>
          <w:bCs w:val="0"/>
        </w:rPr>
        <w:instrText xml:space="preserve"> SEQ Table_A \* ARABIC </w:instrText>
      </w:r>
      <w:r>
        <w:rPr>
          <w:rFonts w:ascii="Times New Roman" w:hAnsi="Times New Roman" w:cs="Times New Roman"/>
          <w:b w:val="0"/>
          <w:bCs w:val="0"/>
        </w:rPr>
        <w:fldChar w:fldCharType="separate"/>
      </w:r>
      <w:r w:rsidR="001648DD">
        <w:rPr>
          <w:rFonts w:ascii="Times New Roman" w:hAnsi="Times New Roman" w:cs="Times New Roman"/>
          <w:b w:val="0"/>
          <w:bCs w:val="0"/>
          <w:noProof/>
        </w:rPr>
        <w:t>2</w:t>
      </w:r>
      <w:r>
        <w:rPr>
          <w:rFonts w:ascii="Times New Roman" w:hAnsi="Times New Roman" w:cs="Times New Roman"/>
          <w:b w:val="0"/>
          <w:bCs w:val="0"/>
        </w:rPr>
        <w:fldChar w:fldCharType="end"/>
      </w:r>
      <w:r w:rsidRPr="00122B3E">
        <w:rPr>
          <w:rFonts w:ascii="Times New Roman" w:hAnsi="Times New Roman" w:cs="Times New Roman"/>
          <w:b w:val="0"/>
          <w:bCs w:val="0"/>
        </w:rPr>
        <w:t>: Variance Partitioning of salamanders and cover objects for each dissimilarity. Only values greater than zero are shown.</w:t>
      </w:r>
      <w:bookmarkEnd w:id="192"/>
      <w:bookmarkEnd w:id="193"/>
    </w:p>
    <w:p w14:paraId="3D1FD39B" w14:textId="1A0B630F" w:rsidR="007B5A0E" w:rsidRPr="00633D42" w:rsidRDefault="007B5A0E" w:rsidP="00DB13C8">
      <w:pPr>
        <w:pStyle w:val="Caption"/>
        <w:rPr>
          <w:rFonts w:ascii="Times New Roman" w:hAnsi="Times New Roman" w:cs="Times New Roman"/>
          <w:b w:val="0"/>
          <w:bCs w:val="0"/>
        </w:rPr>
      </w:pPr>
    </w:p>
    <w:tbl>
      <w:tblPr>
        <w:tblpPr w:leftFromText="180" w:rightFromText="180" w:vertAnchor="text" w:horzAnchor="margin" w:tblpXSpec="center" w:tblpY="138"/>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9"/>
        <w:gridCol w:w="2383"/>
        <w:gridCol w:w="2343"/>
        <w:gridCol w:w="2245"/>
      </w:tblGrid>
      <w:tr w:rsidR="003C60BB" w:rsidRPr="007B5A0E" w14:paraId="1CEEF8BE" w14:textId="77777777" w:rsidTr="001E1826">
        <w:trPr>
          <w:trHeight w:val="432"/>
        </w:trPr>
        <w:tc>
          <w:tcPr>
            <w:tcW w:w="2379" w:type="dxa"/>
            <w:tcBorders>
              <w:top w:val="single" w:sz="4" w:space="0" w:color="auto"/>
              <w:left w:val="single" w:sz="4" w:space="0" w:color="auto"/>
              <w:right w:val="single" w:sz="4" w:space="0" w:color="auto"/>
            </w:tcBorders>
            <w:shd w:val="clear" w:color="auto" w:fill="A6A6A6" w:themeFill="background1" w:themeFillShade="A6"/>
          </w:tcPr>
          <w:p w14:paraId="226CA3E7" w14:textId="4B102AA2" w:rsidR="003C60BB" w:rsidRPr="004827E7" w:rsidRDefault="003C60BB" w:rsidP="007B5A0E">
            <w:pPr>
              <w:pStyle w:val="Caption"/>
              <w:jc w:val="center"/>
              <w:rPr>
                <w:rFonts w:ascii="Times New Roman" w:hAnsi="Times New Roman" w:cs="Times New Roman"/>
                <w:color w:val="000000"/>
              </w:rPr>
            </w:pPr>
            <w:bookmarkStart w:id="194" w:name="_Toc289175850"/>
            <w:r w:rsidRPr="004827E7">
              <w:rPr>
                <w:rFonts w:ascii="Times New Roman" w:hAnsi="Times New Roman" w:cs="Times New Roman"/>
                <w:color w:val="000000"/>
              </w:rPr>
              <w:t>Dissimilarity</w:t>
            </w:r>
          </w:p>
        </w:tc>
        <w:tc>
          <w:tcPr>
            <w:tcW w:w="2383" w:type="dxa"/>
            <w:tcBorders>
              <w:top w:val="single" w:sz="4" w:space="0" w:color="auto"/>
              <w:left w:val="single" w:sz="4" w:space="0" w:color="auto"/>
              <w:right w:val="single" w:sz="4" w:space="0" w:color="auto"/>
            </w:tcBorders>
            <w:shd w:val="clear" w:color="auto" w:fill="A6A6A6" w:themeFill="background1" w:themeFillShade="A6"/>
          </w:tcPr>
          <w:p w14:paraId="23B0438F" w14:textId="67B0E532" w:rsidR="003C60BB" w:rsidRPr="004827E7" w:rsidRDefault="003C60BB" w:rsidP="007B5A0E">
            <w:pPr>
              <w:pStyle w:val="Caption"/>
              <w:jc w:val="center"/>
              <w:rPr>
                <w:rFonts w:ascii="Times New Roman" w:hAnsi="Times New Roman" w:cs="Times New Roman"/>
                <w:color w:val="000000"/>
              </w:rPr>
            </w:pPr>
            <w:r w:rsidRPr="004827E7">
              <w:rPr>
                <w:rFonts w:ascii="Times New Roman" w:hAnsi="Times New Roman" w:cs="Times New Roman"/>
                <w:color w:val="000000"/>
              </w:rPr>
              <w:t>Comparison</w:t>
            </w:r>
          </w:p>
        </w:tc>
        <w:tc>
          <w:tcPr>
            <w:tcW w:w="2343" w:type="dxa"/>
            <w:tcBorders>
              <w:top w:val="single" w:sz="4" w:space="0" w:color="auto"/>
              <w:left w:val="single" w:sz="4" w:space="0" w:color="auto"/>
              <w:right w:val="single" w:sz="4" w:space="0" w:color="auto"/>
            </w:tcBorders>
            <w:shd w:val="clear" w:color="auto" w:fill="A6A6A6" w:themeFill="background1" w:themeFillShade="A6"/>
          </w:tcPr>
          <w:p w14:paraId="3C1C9426" w14:textId="39690D0C" w:rsidR="003C60BB" w:rsidRPr="004827E7" w:rsidRDefault="003C60BB" w:rsidP="007B5A0E">
            <w:pPr>
              <w:pStyle w:val="Caption"/>
              <w:jc w:val="center"/>
              <w:rPr>
                <w:rFonts w:ascii="Times New Roman" w:hAnsi="Times New Roman" w:cs="Times New Roman"/>
                <w:color w:val="000000"/>
              </w:rPr>
            </w:pPr>
            <w:r w:rsidRPr="004827E7">
              <w:rPr>
                <w:rFonts w:ascii="Times New Roman" w:hAnsi="Times New Roman" w:cs="Times New Roman"/>
                <w:color w:val="000000"/>
              </w:rPr>
              <w:t>Samples Used</w:t>
            </w:r>
          </w:p>
        </w:tc>
        <w:tc>
          <w:tcPr>
            <w:tcW w:w="2245" w:type="dxa"/>
            <w:tcBorders>
              <w:top w:val="single" w:sz="4" w:space="0" w:color="auto"/>
              <w:left w:val="single" w:sz="4" w:space="0" w:color="auto"/>
              <w:right w:val="single" w:sz="4" w:space="0" w:color="auto"/>
            </w:tcBorders>
            <w:shd w:val="clear" w:color="auto" w:fill="A6A6A6" w:themeFill="background1" w:themeFillShade="A6"/>
            <w:noWrap/>
            <w:vAlign w:val="center"/>
            <w:hideMark/>
          </w:tcPr>
          <w:p w14:paraId="0BDC4926" w14:textId="363BDB28" w:rsidR="003C60BB" w:rsidRPr="004827E7" w:rsidRDefault="003C60BB" w:rsidP="007B5A0E">
            <w:pPr>
              <w:pStyle w:val="Caption"/>
              <w:jc w:val="center"/>
              <w:rPr>
                <w:rFonts w:ascii="Times New Roman" w:hAnsi="Times New Roman" w:cs="Times New Roman"/>
                <w:color w:val="000000"/>
              </w:rPr>
            </w:pPr>
            <w:r w:rsidRPr="004827E7">
              <w:rPr>
                <w:rFonts w:ascii="Times New Roman" w:hAnsi="Times New Roman" w:cs="Times New Roman"/>
                <w:color w:val="000000"/>
              </w:rPr>
              <w:t>Adjusted r</w:t>
            </w:r>
            <w:r w:rsidRPr="004827E7">
              <w:rPr>
                <w:rFonts w:ascii="Times New Roman" w:hAnsi="Times New Roman" w:cs="Times New Roman"/>
                <w:color w:val="000000"/>
                <w:vertAlign w:val="superscript"/>
              </w:rPr>
              <w:t>2</w:t>
            </w:r>
          </w:p>
        </w:tc>
      </w:tr>
      <w:tr w:rsidR="003C60BB" w:rsidRPr="007B5A0E" w14:paraId="7F8F4715" w14:textId="77777777" w:rsidTr="001E1826">
        <w:trPr>
          <w:trHeight w:val="320"/>
        </w:trPr>
        <w:tc>
          <w:tcPr>
            <w:tcW w:w="2379" w:type="dxa"/>
            <w:shd w:val="clear" w:color="auto" w:fill="F2F2F2" w:themeFill="background1" w:themeFillShade="F2"/>
          </w:tcPr>
          <w:p w14:paraId="52B26452" w14:textId="23FBE47D"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2F2F2" w:themeFill="background1" w:themeFillShade="F2"/>
          </w:tcPr>
          <w:p w14:paraId="7D121409" w14:textId="59D5D563"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0BE6E9B3" w14:textId="389DC13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w:t>
            </w:r>
          </w:p>
        </w:tc>
        <w:tc>
          <w:tcPr>
            <w:tcW w:w="2245" w:type="dxa"/>
            <w:shd w:val="clear" w:color="auto" w:fill="F2F2F2" w:themeFill="background1" w:themeFillShade="F2"/>
            <w:noWrap/>
            <w:vAlign w:val="center"/>
            <w:hideMark/>
          </w:tcPr>
          <w:p w14:paraId="34A02A9B"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0.029</w:t>
            </w:r>
          </w:p>
        </w:tc>
      </w:tr>
      <w:tr w:rsidR="003C60BB" w:rsidRPr="007B5A0E" w14:paraId="01B18176" w14:textId="77777777" w:rsidTr="001E1826">
        <w:trPr>
          <w:trHeight w:val="320"/>
        </w:trPr>
        <w:tc>
          <w:tcPr>
            <w:tcW w:w="2379" w:type="dxa"/>
            <w:shd w:val="clear" w:color="auto" w:fill="F2F2F2" w:themeFill="background1" w:themeFillShade="F2"/>
          </w:tcPr>
          <w:p w14:paraId="6B7D0E40" w14:textId="117946B6"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2F2F2" w:themeFill="background1" w:themeFillShade="F2"/>
          </w:tcPr>
          <w:p w14:paraId="06A261CE" w14:textId="63BC1364"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36A6FB79" w14:textId="39979EE5"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Type</w:t>
            </w:r>
          </w:p>
        </w:tc>
        <w:tc>
          <w:tcPr>
            <w:tcW w:w="2245" w:type="dxa"/>
            <w:shd w:val="clear" w:color="auto" w:fill="F2F2F2" w:themeFill="background1" w:themeFillShade="F2"/>
            <w:noWrap/>
            <w:vAlign w:val="center"/>
            <w:hideMark/>
          </w:tcPr>
          <w:p w14:paraId="3F0A1AC3"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0.026</w:t>
            </w:r>
          </w:p>
        </w:tc>
      </w:tr>
      <w:tr w:rsidR="003C60BB" w:rsidRPr="007B5A0E" w14:paraId="03E56149" w14:textId="77777777" w:rsidTr="001E1826">
        <w:trPr>
          <w:trHeight w:val="320"/>
        </w:trPr>
        <w:tc>
          <w:tcPr>
            <w:tcW w:w="2379" w:type="dxa"/>
            <w:shd w:val="clear" w:color="auto" w:fill="F2F2F2" w:themeFill="background1" w:themeFillShade="F2"/>
          </w:tcPr>
          <w:p w14:paraId="7243E65C" w14:textId="749A698A"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2F2F2" w:themeFill="background1" w:themeFillShade="F2"/>
          </w:tcPr>
          <w:p w14:paraId="27329140" w14:textId="04058DAD"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11C03E72" w14:textId="1E8ECAD1"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w:t>
            </w:r>
          </w:p>
        </w:tc>
        <w:tc>
          <w:tcPr>
            <w:tcW w:w="2245" w:type="dxa"/>
            <w:shd w:val="clear" w:color="auto" w:fill="F2F2F2" w:themeFill="background1" w:themeFillShade="F2"/>
            <w:noWrap/>
            <w:vAlign w:val="center"/>
            <w:hideMark/>
          </w:tcPr>
          <w:p w14:paraId="17286633"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0.041</w:t>
            </w:r>
          </w:p>
        </w:tc>
      </w:tr>
      <w:tr w:rsidR="003C60BB" w:rsidRPr="007B5A0E" w14:paraId="706444D8" w14:textId="77777777" w:rsidTr="001E1826">
        <w:trPr>
          <w:trHeight w:val="320"/>
        </w:trPr>
        <w:tc>
          <w:tcPr>
            <w:tcW w:w="2379" w:type="dxa"/>
            <w:shd w:val="clear" w:color="auto" w:fill="F2F2F2" w:themeFill="background1" w:themeFillShade="F2"/>
          </w:tcPr>
          <w:p w14:paraId="5E9FD4A2" w14:textId="62CFC087"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2F2F2" w:themeFill="background1" w:themeFillShade="F2"/>
          </w:tcPr>
          <w:p w14:paraId="4838F3AE" w14:textId="06E26B2D"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11D1EE30" w14:textId="59FAFBFF"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Habitat</w:t>
            </w:r>
          </w:p>
        </w:tc>
        <w:tc>
          <w:tcPr>
            <w:tcW w:w="2245" w:type="dxa"/>
            <w:shd w:val="clear" w:color="auto" w:fill="F2F2F2" w:themeFill="background1" w:themeFillShade="F2"/>
            <w:noWrap/>
            <w:vAlign w:val="center"/>
            <w:hideMark/>
          </w:tcPr>
          <w:p w14:paraId="3DAB518C"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0.001</w:t>
            </w:r>
          </w:p>
        </w:tc>
      </w:tr>
      <w:tr w:rsidR="003C60BB" w:rsidRPr="007B5A0E" w14:paraId="05DD35DE" w14:textId="77777777" w:rsidTr="001E1826">
        <w:trPr>
          <w:trHeight w:val="320"/>
        </w:trPr>
        <w:tc>
          <w:tcPr>
            <w:tcW w:w="2379" w:type="dxa"/>
            <w:shd w:val="clear" w:color="auto" w:fill="FFFFFF" w:themeFill="background1"/>
          </w:tcPr>
          <w:p w14:paraId="5ABD9D24" w14:textId="5719DC60"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FFFFF" w:themeFill="background1"/>
          </w:tcPr>
          <w:p w14:paraId="583EAAE0" w14:textId="6B66800A"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7084849C" w14:textId="31DD223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w:t>
            </w:r>
          </w:p>
        </w:tc>
        <w:tc>
          <w:tcPr>
            <w:tcW w:w="2245" w:type="dxa"/>
            <w:shd w:val="clear" w:color="auto" w:fill="FFFFFF" w:themeFill="background1"/>
            <w:noWrap/>
            <w:vAlign w:val="center"/>
            <w:hideMark/>
          </w:tcPr>
          <w:p w14:paraId="26E04C56"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0.039</w:t>
            </w:r>
          </w:p>
        </w:tc>
      </w:tr>
      <w:tr w:rsidR="003C60BB" w:rsidRPr="007B5A0E" w14:paraId="3B4C21B6" w14:textId="77777777" w:rsidTr="001E1826">
        <w:trPr>
          <w:trHeight w:val="320"/>
        </w:trPr>
        <w:tc>
          <w:tcPr>
            <w:tcW w:w="2379" w:type="dxa"/>
            <w:shd w:val="clear" w:color="auto" w:fill="FFFFFF" w:themeFill="background1"/>
          </w:tcPr>
          <w:p w14:paraId="049176C3" w14:textId="162826D8"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FFFFF" w:themeFill="background1"/>
          </w:tcPr>
          <w:p w14:paraId="7A512A51" w14:textId="2F9B26FE"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12684916" w14:textId="772E419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w:t>
            </w:r>
          </w:p>
        </w:tc>
        <w:tc>
          <w:tcPr>
            <w:tcW w:w="2245" w:type="dxa"/>
            <w:shd w:val="clear" w:color="auto" w:fill="FFFFFF" w:themeFill="background1"/>
            <w:noWrap/>
            <w:vAlign w:val="center"/>
            <w:hideMark/>
          </w:tcPr>
          <w:p w14:paraId="45C896C0"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0.048</w:t>
            </w:r>
          </w:p>
        </w:tc>
      </w:tr>
      <w:tr w:rsidR="003C60BB" w:rsidRPr="007B5A0E" w14:paraId="22A202B4" w14:textId="77777777" w:rsidTr="001E1826">
        <w:trPr>
          <w:trHeight w:val="320"/>
        </w:trPr>
        <w:tc>
          <w:tcPr>
            <w:tcW w:w="2379" w:type="dxa"/>
            <w:shd w:val="clear" w:color="auto" w:fill="FFFFFF" w:themeFill="background1"/>
          </w:tcPr>
          <w:p w14:paraId="3816A6EF" w14:textId="1D66E963"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FFFFF" w:themeFill="background1"/>
          </w:tcPr>
          <w:p w14:paraId="3B594B7A" w14:textId="0088D751"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72B61469" w14:textId="16D14CD4"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Species</w:t>
            </w:r>
          </w:p>
        </w:tc>
        <w:tc>
          <w:tcPr>
            <w:tcW w:w="2245" w:type="dxa"/>
            <w:shd w:val="clear" w:color="auto" w:fill="FFFFFF" w:themeFill="background1"/>
            <w:noWrap/>
            <w:vAlign w:val="center"/>
            <w:hideMark/>
          </w:tcPr>
          <w:p w14:paraId="4E3A036B"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0.006</w:t>
            </w:r>
          </w:p>
        </w:tc>
      </w:tr>
      <w:tr w:rsidR="003C60BB" w:rsidRPr="007B5A0E" w14:paraId="7334E47C" w14:textId="77777777" w:rsidTr="001E1826">
        <w:trPr>
          <w:trHeight w:val="320"/>
        </w:trPr>
        <w:tc>
          <w:tcPr>
            <w:tcW w:w="2379" w:type="dxa"/>
            <w:shd w:val="clear" w:color="auto" w:fill="FFFFFF" w:themeFill="background1"/>
          </w:tcPr>
          <w:p w14:paraId="4EDFA087" w14:textId="1014484B"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FFFFF" w:themeFill="background1"/>
          </w:tcPr>
          <w:p w14:paraId="1C0EC507" w14:textId="4B755021"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3C4E7D45" w14:textId="6BB14CA0"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Habitat</w:t>
            </w:r>
          </w:p>
        </w:tc>
        <w:tc>
          <w:tcPr>
            <w:tcW w:w="2245" w:type="dxa"/>
            <w:shd w:val="clear" w:color="auto" w:fill="FFFFFF" w:themeFill="background1"/>
            <w:noWrap/>
            <w:vAlign w:val="center"/>
            <w:hideMark/>
          </w:tcPr>
          <w:p w14:paraId="2A289DA7"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0.058</w:t>
            </w:r>
          </w:p>
        </w:tc>
      </w:tr>
      <w:tr w:rsidR="003C60BB" w:rsidRPr="007B5A0E" w14:paraId="1DD33D6D" w14:textId="77777777" w:rsidTr="001E1826">
        <w:trPr>
          <w:trHeight w:val="320"/>
        </w:trPr>
        <w:tc>
          <w:tcPr>
            <w:tcW w:w="2379" w:type="dxa"/>
            <w:shd w:val="clear" w:color="auto" w:fill="FFFFFF" w:themeFill="background1"/>
          </w:tcPr>
          <w:p w14:paraId="46C8694C" w14:textId="75262A1A"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FFFFF" w:themeFill="background1"/>
          </w:tcPr>
          <w:p w14:paraId="495767AC" w14:textId="2D065853"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4F2E5A90" w14:textId="7DA951D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Species</w:t>
            </w:r>
          </w:p>
        </w:tc>
        <w:tc>
          <w:tcPr>
            <w:tcW w:w="2245" w:type="dxa"/>
            <w:shd w:val="clear" w:color="auto" w:fill="FFFFFF" w:themeFill="background1"/>
            <w:noWrap/>
            <w:vAlign w:val="center"/>
            <w:hideMark/>
          </w:tcPr>
          <w:p w14:paraId="40552758"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0.021</w:t>
            </w:r>
          </w:p>
        </w:tc>
      </w:tr>
      <w:tr w:rsidR="003C60BB" w:rsidRPr="007B5A0E" w14:paraId="227402F7" w14:textId="77777777" w:rsidTr="001E1826">
        <w:trPr>
          <w:trHeight w:val="320"/>
        </w:trPr>
        <w:tc>
          <w:tcPr>
            <w:tcW w:w="2379" w:type="dxa"/>
            <w:shd w:val="clear" w:color="auto" w:fill="FFFFFF" w:themeFill="background1"/>
          </w:tcPr>
          <w:p w14:paraId="6D83144E" w14:textId="542A24E0"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FFFFFF" w:themeFill="background1"/>
          </w:tcPr>
          <w:p w14:paraId="00B2D2D0" w14:textId="5C363A27"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4BE84C00" w14:textId="39310ACD"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 x Species</w:t>
            </w:r>
          </w:p>
        </w:tc>
        <w:tc>
          <w:tcPr>
            <w:tcW w:w="2245" w:type="dxa"/>
            <w:shd w:val="clear" w:color="auto" w:fill="FFFFFF" w:themeFill="background1"/>
            <w:noWrap/>
            <w:vAlign w:val="center"/>
            <w:hideMark/>
          </w:tcPr>
          <w:p w14:paraId="29B867D4"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0.094</w:t>
            </w:r>
          </w:p>
        </w:tc>
      </w:tr>
      <w:tr w:rsidR="003C60BB" w:rsidRPr="007B5A0E" w14:paraId="431FDD5C" w14:textId="77777777" w:rsidTr="001E1826">
        <w:trPr>
          <w:trHeight w:val="320"/>
        </w:trPr>
        <w:tc>
          <w:tcPr>
            <w:tcW w:w="2379" w:type="dxa"/>
            <w:shd w:val="clear" w:color="auto" w:fill="D9D9D9" w:themeFill="background1" w:themeFillShade="D9"/>
          </w:tcPr>
          <w:p w14:paraId="4C5EA583" w14:textId="6FD581C2"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D9D9D9" w:themeFill="background1" w:themeFillShade="D9"/>
          </w:tcPr>
          <w:p w14:paraId="125D9211" w14:textId="32E3137F"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hideMark/>
          </w:tcPr>
          <w:p w14:paraId="5E38B239" w14:textId="45161E7C"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w:t>
            </w:r>
          </w:p>
        </w:tc>
        <w:tc>
          <w:tcPr>
            <w:tcW w:w="2245" w:type="dxa"/>
            <w:shd w:val="clear" w:color="auto" w:fill="D9D9D9" w:themeFill="background1" w:themeFillShade="D9"/>
            <w:noWrap/>
            <w:vAlign w:val="center"/>
            <w:hideMark/>
          </w:tcPr>
          <w:p w14:paraId="401A118B"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0.021</w:t>
            </w:r>
          </w:p>
        </w:tc>
      </w:tr>
      <w:tr w:rsidR="003C60BB" w:rsidRPr="007B5A0E" w14:paraId="130397D1" w14:textId="77777777" w:rsidTr="001E1826">
        <w:trPr>
          <w:trHeight w:val="320"/>
        </w:trPr>
        <w:tc>
          <w:tcPr>
            <w:tcW w:w="2379" w:type="dxa"/>
            <w:shd w:val="clear" w:color="auto" w:fill="D9D9D9" w:themeFill="background1" w:themeFillShade="D9"/>
          </w:tcPr>
          <w:p w14:paraId="74A6A557" w14:textId="65C41A57"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D9D9D9" w:themeFill="background1" w:themeFillShade="D9"/>
          </w:tcPr>
          <w:p w14:paraId="27877D29" w14:textId="1D168284"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hideMark/>
          </w:tcPr>
          <w:p w14:paraId="174CB0E0" w14:textId="0F1D35AC"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Species</w:t>
            </w:r>
          </w:p>
        </w:tc>
        <w:tc>
          <w:tcPr>
            <w:tcW w:w="2245" w:type="dxa"/>
            <w:shd w:val="clear" w:color="auto" w:fill="D9D9D9" w:themeFill="background1" w:themeFillShade="D9"/>
            <w:noWrap/>
            <w:vAlign w:val="center"/>
            <w:hideMark/>
          </w:tcPr>
          <w:p w14:paraId="742A3A18"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0.012</w:t>
            </w:r>
          </w:p>
        </w:tc>
      </w:tr>
      <w:tr w:rsidR="003C60BB" w:rsidRPr="007B5A0E" w14:paraId="3A480E81" w14:textId="77777777" w:rsidTr="001E1826">
        <w:trPr>
          <w:trHeight w:val="320"/>
        </w:trPr>
        <w:tc>
          <w:tcPr>
            <w:tcW w:w="2379" w:type="dxa"/>
            <w:shd w:val="clear" w:color="auto" w:fill="D9D9D9" w:themeFill="background1" w:themeFillShade="D9"/>
          </w:tcPr>
          <w:p w14:paraId="0A074FBB" w14:textId="2F3356A5"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D9D9D9" w:themeFill="background1" w:themeFillShade="D9"/>
          </w:tcPr>
          <w:p w14:paraId="4D5F289A" w14:textId="618BE222"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hideMark/>
          </w:tcPr>
          <w:p w14:paraId="0BE3F263" w14:textId="13D95EBF"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Habitat</w:t>
            </w:r>
          </w:p>
        </w:tc>
        <w:tc>
          <w:tcPr>
            <w:tcW w:w="2245" w:type="dxa"/>
            <w:shd w:val="clear" w:color="auto" w:fill="D9D9D9" w:themeFill="background1" w:themeFillShade="D9"/>
            <w:noWrap/>
            <w:vAlign w:val="center"/>
            <w:hideMark/>
          </w:tcPr>
          <w:p w14:paraId="42D6820D"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0.007</w:t>
            </w:r>
          </w:p>
        </w:tc>
      </w:tr>
      <w:tr w:rsidR="003C60BB" w:rsidRPr="007B5A0E" w14:paraId="44FF11FB" w14:textId="77777777" w:rsidTr="001E1826">
        <w:trPr>
          <w:trHeight w:val="320"/>
        </w:trPr>
        <w:tc>
          <w:tcPr>
            <w:tcW w:w="2379" w:type="dxa"/>
            <w:shd w:val="clear" w:color="auto" w:fill="D9D9D9" w:themeFill="background1" w:themeFillShade="D9"/>
          </w:tcPr>
          <w:p w14:paraId="38993EE6" w14:textId="5F8FC604"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shd w:val="clear" w:color="auto" w:fill="D9D9D9" w:themeFill="background1" w:themeFillShade="D9"/>
          </w:tcPr>
          <w:p w14:paraId="33A7B148" w14:textId="2C71BFA3"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hideMark/>
          </w:tcPr>
          <w:p w14:paraId="79614646" w14:textId="56A589F0"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Species</w:t>
            </w:r>
          </w:p>
        </w:tc>
        <w:tc>
          <w:tcPr>
            <w:tcW w:w="2245" w:type="dxa"/>
            <w:shd w:val="clear" w:color="auto" w:fill="D9D9D9" w:themeFill="background1" w:themeFillShade="D9"/>
            <w:noWrap/>
            <w:vAlign w:val="center"/>
            <w:hideMark/>
          </w:tcPr>
          <w:p w14:paraId="23D1DC59"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0.005</w:t>
            </w:r>
          </w:p>
        </w:tc>
      </w:tr>
      <w:tr w:rsidR="003C60BB" w:rsidRPr="007B5A0E" w14:paraId="04E48CE3" w14:textId="77777777" w:rsidTr="001E1826">
        <w:trPr>
          <w:trHeight w:val="320"/>
        </w:trPr>
        <w:tc>
          <w:tcPr>
            <w:tcW w:w="2379" w:type="dxa"/>
            <w:tcBorders>
              <w:bottom w:val="single" w:sz="4" w:space="0" w:color="auto"/>
            </w:tcBorders>
            <w:shd w:val="clear" w:color="auto" w:fill="D9D9D9" w:themeFill="background1" w:themeFillShade="D9"/>
          </w:tcPr>
          <w:p w14:paraId="53875099" w14:textId="29AC6BA2" w:rsidR="003C60BB" w:rsidRPr="003C60BB" w:rsidRDefault="003C60BB" w:rsidP="007B5A0E">
            <w:pPr>
              <w:jc w:val="center"/>
              <w:rPr>
                <w:rFonts w:ascii="Times New Roman" w:hAnsi="Times New Roman" w:cs="Times New Roman"/>
                <w:color w:val="000000"/>
              </w:rPr>
            </w:pPr>
            <w:r w:rsidRPr="003C60BB">
              <w:rPr>
                <w:rFonts w:ascii="Times New Roman" w:hAnsi="Times New Roman" w:cs="Times New Roman"/>
                <w:color w:val="000000"/>
              </w:rPr>
              <w:t xml:space="preserve">Weighted </w:t>
            </w:r>
            <w:proofErr w:type="spellStart"/>
            <w:r w:rsidRPr="003C60BB">
              <w:rPr>
                <w:rFonts w:ascii="Times New Roman" w:hAnsi="Times New Roman" w:cs="Times New Roman"/>
                <w:color w:val="000000"/>
              </w:rPr>
              <w:t>Unifrac</w:t>
            </w:r>
            <w:proofErr w:type="spellEnd"/>
          </w:p>
        </w:tc>
        <w:tc>
          <w:tcPr>
            <w:tcW w:w="2383" w:type="dxa"/>
            <w:tcBorders>
              <w:bottom w:val="single" w:sz="4" w:space="0" w:color="auto"/>
            </w:tcBorders>
            <w:shd w:val="clear" w:color="auto" w:fill="D9D9D9" w:themeFill="background1" w:themeFillShade="D9"/>
          </w:tcPr>
          <w:p w14:paraId="421BE9EB" w14:textId="5DAB00CB"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tcBorders>
              <w:bottom w:val="single" w:sz="4" w:space="0" w:color="auto"/>
            </w:tcBorders>
            <w:shd w:val="clear" w:color="auto" w:fill="D9D9D9" w:themeFill="background1" w:themeFillShade="D9"/>
            <w:noWrap/>
            <w:vAlign w:val="center"/>
            <w:hideMark/>
          </w:tcPr>
          <w:p w14:paraId="0861A740" w14:textId="4348D712"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 x Species</w:t>
            </w:r>
          </w:p>
        </w:tc>
        <w:tc>
          <w:tcPr>
            <w:tcW w:w="2245" w:type="dxa"/>
            <w:tcBorders>
              <w:bottom w:val="single" w:sz="4" w:space="0" w:color="auto"/>
            </w:tcBorders>
            <w:shd w:val="clear" w:color="auto" w:fill="D9D9D9" w:themeFill="background1" w:themeFillShade="D9"/>
            <w:noWrap/>
            <w:vAlign w:val="center"/>
            <w:hideMark/>
          </w:tcPr>
          <w:p w14:paraId="2559E64B"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0.015</w:t>
            </w:r>
          </w:p>
        </w:tc>
      </w:tr>
      <w:tr w:rsidR="003C60BB" w:rsidRPr="007B5A0E" w14:paraId="1D71EE04" w14:textId="77777777" w:rsidTr="001E1826">
        <w:trPr>
          <w:trHeight w:val="320"/>
        </w:trPr>
        <w:tc>
          <w:tcPr>
            <w:tcW w:w="2379" w:type="dxa"/>
            <w:shd w:val="clear" w:color="auto" w:fill="F2F2F2" w:themeFill="background1" w:themeFillShade="F2"/>
          </w:tcPr>
          <w:p w14:paraId="50445E8D" w14:textId="1FB21CB2" w:rsidR="003C60BB" w:rsidRDefault="003C60BB" w:rsidP="00D64F5B">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2F2F2" w:themeFill="background1" w:themeFillShade="F2"/>
          </w:tcPr>
          <w:p w14:paraId="1A9E3482" w14:textId="75D8EF91" w:rsidR="003C60BB" w:rsidRPr="007B5A0E" w:rsidRDefault="003C60BB" w:rsidP="00D64F5B">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4035678A" w14:textId="303C7696"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w:t>
            </w:r>
          </w:p>
        </w:tc>
        <w:tc>
          <w:tcPr>
            <w:tcW w:w="2245" w:type="dxa"/>
            <w:shd w:val="clear" w:color="auto" w:fill="F2F2F2" w:themeFill="background1" w:themeFillShade="F2"/>
            <w:noWrap/>
            <w:vAlign w:val="center"/>
            <w:hideMark/>
          </w:tcPr>
          <w:p w14:paraId="5BD1DF57"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0.028</w:t>
            </w:r>
          </w:p>
        </w:tc>
      </w:tr>
      <w:tr w:rsidR="003C60BB" w:rsidRPr="007B5A0E" w14:paraId="7A81704E" w14:textId="77777777" w:rsidTr="001E1826">
        <w:trPr>
          <w:trHeight w:val="320"/>
        </w:trPr>
        <w:tc>
          <w:tcPr>
            <w:tcW w:w="2379" w:type="dxa"/>
            <w:shd w:val="clear" w:color="auto" w:fill="F2F2F2" w:themeFill="background1" w:themeFillShade="F2"/>
          </w:tcPr>
          <w:p w14:paraId="26636A75" w14:textId="32664BBE"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2F2F2" w:themeFill="background1" w:themeFillShade="F2"/>
          </w:tcPr>
          <w:p w14:paraId="4A4AB524" w14:textId="6110FFAC"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36C4C806" w14:textId="3B97D171"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Type</w:t>
            </w:r>
          </w:p>
        </w:tc>
        <w:tc>
          <w:tcPr>
            <w:tcW w:w="2245" w:type="dxa"/>
            <w:shd w:val="clear" w:color="auto" w:fill="F2F2F2" w:themeFill="background1" w:themeFillShade="F2"/>
            <w:noWrap/>
            <w:vAlign w:val="center"/>
            <w:hideMark/>
          </w:tcPr>
          <w:p w14:paraId="363A6D57"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0.028</w:t>
            </w:r>
          </w:p>
        </w:tc>
      </w:tr>
      <w:tr w:rsidR="003C60BB" w:rsidRPr="007B5A0E" w14:paraId="3798F8FB" w14:textId="77777777" w:rsidTr="001E1826">
        <w:trPr>
          <w:trHeight w:val="320"/>
        </w:trPr>
        <w:tc>
          <w:tcPr>
            <w:tcW w:w="2379" w:type="dxa"/>
            <w:shd w:val="clear" w:color="auto" w:fill="F2F2F2" w:themeFill="background1" w:themeFillShade="F2"/>
          </w:tcPr>
          <w:p w14:paraId="11B032D1" w14:textId="19748CC5"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2F2F2" w:themeFill="background1" w:themeFillShade="F2"/>
          </w:tcPr>
          <w:p w14:paraId="21ADC707" w14:textId="372EFC51"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52BE4809" w14:textId="2D228DFC"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w:t>
            </w:r>
          </w:p>
        </w:tc>
        <w:tc>
          <w:tcPr>
            <w:tcW w:w="2245" w:type="dxa"/>
            <w:shd w:val="clear" w:color="auto" w:fill="F2F2F2" w:themeFill="background1" w:themeFillShade="F2"/>
            <w:noWrap/>
            <w:vAlign w:val="center"/>
            <w:hideMark/>
          </w:tcPr>
          <w:p w14:paraId="68DE6A18"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0.045</w:t>
            </w:r>
          </w:p>
        </w:tc>
      </w:tr>
      <w:tr w:rsidR="003C60BB" w:rsidRPr="007B5A0E" w14:paraId="73AD365B" w14:textId="77777777" w:rsidTr="001E1826">
        <w:trPr>
          <w:trHeight w:val="320"/>
        </w:trPr>
        <w:tc>
          <w:tcPr>
            <w:tcW w:w="2379" w:type="dxa"/>
            <w:shd w:val="clear" w:color="auto" w:fill="F2F2F2" w:themeFill="background1" w:themeFillShade="F2"/>
          </w:tcPr>
          <w:p w14:paraId="47F14169" w14:textId="274925C1"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2F2F2" w:themeFill="background1" w:themeFillShade="F2"/>
          </w:tcPr>
          <w:p w14:paraId="018C89F9" w14:textId="3004EEBF"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All Samples</w:t>
            </w:r>
          </w:p>
        </w:tc>
        <w:tc>
          <w:tcPr>
            <w:tcW w:w="2343" w:type="dxa"/>
            <w:shd w:val="clear" w:color="auto" w:fill="F2F2F2" w:themeFill="background1" w:themeFillShade="F2"/>
            <w:noWrap/>
            <w:vAlign w:val="center"/>
            <w:hideMark/>
          </w:tcPr>
          <w:p w14:paraId="02947BFF" w14:textId="33132C05"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Habitat</w:t>
            </w:r>
          </w:p>
        </w:tc>
        <w:tc>
          <w:tcPr>
            <w:tcW w:w="2245" w:type="dxa"/>
            <w:shd w:val="clear" w:color="auto" w:fill="F2F2F2" w:themeFill="background1" w:themeFillShade="F2"/>
            <w:noWrap/>
            <w:vAlign w:val="center"/>
            <w:hideMark/>
          </w:tcPr>
          <w:p w14:paraId="15658BB4"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0.002</w:t>
            </w:r>
          </w:p>
        </w:tc>
      </w:tr>
      <w:tr w:rsidR="003C60BB" w:rsidRPr="007B5A0E" w14:paraId="5DE3C6FD" w14:textId="77777777" w:rsidTr="001E1826">
        <w:trPr>
          <w:trHeight w:val="320"/>
        </w:trPr>
        <w:tc>
          <w:tcPr>
            <w:tcW w:w="2379" w:type="dxa"/>
            <w:shd w:val="clear" w:color="auto" w:fill="FFFFFF" w:themeFill="background1"/>
          </w:tcPr>
          <w:p w14:paraId="67C68FFF" w14:textId="3506DC01"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FFFFF" w:themeFill="background1"/>
          </w:tcPr>
          <w:p w14:paraId="660C949D" w14:textId="381BAEE3"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7EFE3FA0" w14:textId="6B819A62"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w:t>
            </w:r>
          </w:p>
        </w:tc>
        <w:tc>
          <w:tcPr>
            <w:tcW w:w="2245" w:type="dxa"/>
            <w:shd w:val="clear" w:color="auto" w:fill="FFFFFF" w:themeFill="background1"/>
            <w:noWrap/>
            <w:vAlign w:val="center"/>
            <w:hideMark/>
          </w:tcPr>
          <w:p w14:paraId="7ADBD0BC"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0.026</w:t>
            </w:r>
          </w:p>
        </w:tc>
      </w:tr>
      <w:tr w:rsidR="003C60BB" w:rsidRPr="007B5A0E" w14:paraId="30663061" w14:textId="77777777" w:rsidTr="001E1826">
        <w:trPr>
          <w:trHeight w:val="320"/>
        </w:trPr>
        <w:tc>
          <w:tcPr>
            <w:tcW w:w="2379" w:type="dxa"/>
            <w:shd w:val="clear" w:color="auto" w:fill="FFFFFF" w:themeFill="background1"/>
          </w:tcPr>
          <w:p w14:paraId="556846C6" w14:textId="6332E65B"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FFFFF" w:themeFill="background1"/>
          </w:tcPr>
          <w:p w14:paraId="616E9AD3" w14:textId="4937461B"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0655BA25" w14:textId="3780C0BB"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w:t>
            </w:r>
          </w:p>
        </w:tc>
        <w:tc>
          <w:tcPr>
            <w:tcW w:w="2245" w:type="dxa"/>
            <w:shd w:val="clear" w:color="auto" w:fill="FFFFFF" w:themeFill="background1"/>
            <w:noWrap/>
            <w:vAlign w:val="center"/>
            <w:hideMark/>
          </w:tcPr>
          <w:p w14:paraId="21D2D5F1"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0.046</w:t>
            </w:r>
          </w:p>
        </w:tc>
      </w:tr>
      <w:tr w:rsidR="003C60BB" w:rsidRPr="007B5A0E" w14:paraId="6677C946" w14:textId="77777777" w:rsidTr="001E1826">
        <w:trPr>
          <w:trHeight w:val="320"/>
        </w:trPr>
        <w:tc>
          <w:tcPr>
            <w:tcW w:w="2379" w:type="dxa"/>
            <w:shd w:val="clear" w:color="auto" w:fill="FFFFFF" w:themeFill="background1"/>
          </w:tcPr>
          <w:p w14:paraId="10CA5D01" w14:textId="32BC22A7"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FFFFF" w:themeFill="background1"/>
          </w:tcPr>
          <w:p w14:paraId="48AE5D29" w14:textId="68896315"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5B5ACB0F" w14:textId="2637E08E"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Species</w:t>
            </w:r>
          </w:p>
        </w:tc>
        <w:tc>
          <w:tcPr>
            <w:tcW w:w="2245" w:type="dxa"/>
            <w:shd w:val="clear" w:color="auto" w:fill="FFFFFF" w:themeFill="background1"/>
            <w:noWrap/>
            <w:vAlign w:val="center"/>
            <w:hideMark/>
          </w:tcPr>
          <w:p w14:paraId="452CE5C6"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0.009</w:t>
            </w:r>
          </w:p>
        </w:tc>
      </w:tr>
      <w:tr w:rsidR="003C60BB" w:rsidRPr="007B5A0E" w14:paraId="6C4E1787" w14:textId="77777777" w:rsidTr="001E1826">
        <w:trPr>
          <w:trHeight w:val="320"/>
        </w:trPr>
        <w:tc>
          <w:tcPr>
            <w:tcW w:w="2379" w:type="dxa"/>
            <w:shd w:val="clear" w:color="auto" w:fill="FFFFFF" w:themeFill="background1"/>
          </w:tcPr>
          <w:p w14:paraId="51CA6A8F" w14:textId="768A223A"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FFFFF" w:themeFill="background1"/>
          </w:tcPr>
          <w:p w14:paraId="23424898" w14:textId="79AAFE55"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1C71754C" w14:textId="7098715F"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Habitat</w:t>
            </w:r>
          </w:p>
        </w:tc>
        <w:tc>
          <w:tcPr>
            <w:tcW w:w="2245" w:type="dxa"/>
            <w:shd w:val="clear" w:color="auto" w:fill="FFFFFF" w:themeFill="background1"/>
            <w:noWrap/>
            <w:vAlign w:val="center"/>
            <w:hideMark/>
          </w:tcPr>
          <w:p w14:paraId="47ADA98B"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0.038</w:t>
            </w:r>
          </w:p>
        </w:tc>
      </w:tr>
      <w:tr w:rsidR="003C60BB" w:rsidRPr="007B5A0E" w14:paraId="236257A3" w14:textId="77777777" w:rsidTr="001E1826">
        <w:trPr>
          <w:trHeight w:val="320"/>
        </w:trPr>
        <w:tc>
          <w:tcPr>
            <w:tcW w:w="2379" w:type="dxa"/>
            <w:tcBorders>
              <w:bottom w:val="single" w:sz="4" w:space="0" w:color="auto"/>
            </w:tcBorders>
            <w:shd w:val="clear" w:color="auto" w:fill="FFFFFF" w:themeFill="background1"/>
          </w:tcPr>
          <w:p w14:paraId="4B947957" w14:textId="2C5008CD"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tcBorders>
              <w:bottom w:val="single" w:sz="4" w:space="0" w:color="auto"/>
            </w:tcBorders>
            <w:shd w:val="clear" w:color="auto" w:fill="FFFFFF" w:themeFill="background1"/>
          </w:tcPr>
          <w:p w14:paraId="746BF121" w14:textId="2FEBFDB0"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tcBorders>
              <w:bottom w:val="single" w:sz="4" w:space="0" w:color="auto"/>
            </w:tcBorders>
            <w:shd w:val="clear" w:color="auto" w:fill="FFFFFF" w:themeFill="background1"/>
            <w:noWrap/>
            <w:vAlign w:val="center"/>
            <w:hideMark/>
          </w:tcPr>
          <w:p w14:paraId="0AE994AD" w14:textId="11B55433"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Site x Species</w:t>
            </w:r>
          </w:p>
        </w:tc>
        <w:tc>
          <w:tcPr>
            <w:tcW w:w="2245" w:type="dxa"/>
            <w:tcBorders>
              <w:bottom w:val="single" w:sz="4" w:space="0" w:color="auto"/>
            </w:tcBorders>
            <w:shd w:val="clear" w:color="auto" w:fill="FFFFFF" w:themeFill="background1"/>
            <w:noWrap/>
            <w:vAlign w:val="center"/>
            <w:hideMark/>
          </w:tcPr>
          <w:p w14:paraId="3DF96346"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0.011</w:t>
            </w:r>
          </w:p>
        </w:tc>
      </w:tr>
      <w:tr w:rsidR="003C60BB" w:rsidRPr="007B5A0E" w14:paraId="2F60D44C" w14:textId="77777777" w:rsidTr="001E1826">
        <w:trPr>
          <w:trHeight w:val="320"/>
        </w:trPr>
        <w:tc>
          <w:tcPr>
            <w:tcW w:w="2379" w:type="dxa"/>
            <w:shd w:val="clear" w:color="auto" w:fill="FFFFFF" w:themeFill="background1"/>
          </w:tcPr>
          <w:p w14:paraId="059590CF" w14:textId="156E725F"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FFFFFF" w:themeFill="background1"/>
          </w:tcPr>
          <w:p w14:paraId="630CA8DF" w14:textId="0B7017B1"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Cover Objects</w:t>
            </w:r>
          </w:p>
        </w:tc>
        <w:tc>
          <w:tcPr>
            <w:tcW w:w="2343" w:type="dxa"/>
            <w:shd w:val="clear" w:color="auto" w:fill="FFFFFF" w:themeFill="background1"/>
            <w:noWrap/>
            <w:vAlign w:val="center"/>
            <w:hideMark/>
          </w:tcPr>
          <w:p w14:paraId="0EC8CE93" w14:textId="0340ABD4"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Habitat x Species</w:t>
            </w:r>
          </w:p>
        </w:tc>
        <w:tc>
          <w:tcPr>
            <w:tcW w:w="2245" w:type="dxa"/>
            <w:shd w:val="clear" w:color="auto" w:fill="FFFFFF" w:themeFill="background1"/>
            <w:noWrap/>
            <w:vAlign w:val="center"/>
            <w:hideMark/>
          </w:tcPr>
          <w:p w14:paraId="48A9A662" w14:textId="77777777" w:rsidR="003C60BB" w:rsidRPr="007B5A0E" w:rsidRDefault="003C60BB" w:rsidP="007B5A0E">
            <w:pPr>
              <w:jc w:val="center"/>
              <w:rPr>
                <w:rFonts w:ascii="Times New Roman" w:hAnsi="Times New Roman" w:cs="Times New Roman"/>
                <w:color w:val="000000"/>
              </w:rPr>
            </w:pPr>
            <w:r w:rsidRPr="007B5A0E">
              <w:rPr>
                <w:rFonts w:ascii="Times New Roman" w:hAnsi="Times New Roman" w:cs="Times New Roman"/>
                <w:color w:val="000000"/>
              </w:rPr>
              <w:t>0.079</w:t>
            </w:r>
          </w:p>
        </w:tc>
      </w:tr>
      <w:tr w:rsidR="003C60BB" w:rsidRPr="007B5A0E" w14:paraId="532B5944" w14:textId="77777777" w:rsidTr="001E1826">
        <w:trPr>
          <w:trHeight w:val="320"/>
        </w:trPr>
        <w:tc>
          <w:tcPr>
            <w:tcW w:w="2379" w:type="dxa"/>
            <w:shd w:val="clear" w:color="auto" w:fill="D9D9D9" w:themeFill="background1" w:themeFillShade="D9"/>
          </w:tcPr>
          <w:p w14:paraId="779E430D" w14:textId="5E77CBE2"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D9D9D9" w:themeFill="background1" w:themeFillShade="D9"/>
          </w:tcPr>
          <w:p w14:paraId="0D7F4582" w14:textId="525A214F"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tcPr>
          <w:p w14:paraId="669A4266" w14:textId="7CA14A2B"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Site</w:t>
            </w:r>
          </w:p>
        </w:tc>
        <w:tc>
          <w:tcPr>
            <w:tcW w:w="2245" w:type="dxa"/>
            <w:shd w:val="clear" w:color="auto" w:fill="D9D9D9" w:themeFill="background1" w:themeFillShade="D9"/>
            <w:noWrap/>
            <w:vAlign w:val="center"/>
          </w:tcPr>
          <w:p w14:paraId="46F22968" w14:textId="29BCEC7E" w:rsidR="003C60BB" w:rsidRPr="007B5A0E" w:rsidRDefault="003C60BB" w:rsidP="007B5A0E">
            <w:pPr>
              <w:jc w:val="center"/>
              <w:rPr>
                <w:rFonts w:ascii="Times New Roman" w:hAnsi="Times New Roman" w:cs="Times New Roman"/>
                <w:color w:val="000000"/>
              </w:rPr>
            </w:pPr>
            <w:r>
              <w:rPr>
                <w:rFonts w:ascii="Times New Roman" w:hAnsi="Times New Roman" w:cs="Times New Roman"/>
                <w:color w:val="000000"/>
              </w:rPr>
              <w:t>0.024</w:t>
            </w:r>
          </w:p>
        </w:tc>
      </w:tr>
      <w:tr w:rsidR="003C60BB" w:rsidRPr="007B5A0E" w14:paraId="3E79C95E" w14:textId="77777777" w:rsidTr="001E1826">
        <w:trPr>
          <w:trHeight w:val="320"/>
        </w:trPr>
        <w:tc>
          <w:tcPr>
            <w:tcW w:w="2379" w:type="dxa"/>
            <w:shd w:val="clear" w:color="auto" w:fill="D9D9D9" w:themeFill="background1" w:themeFillShade="D9"/>
          </w:tcPr>
          <w:p w14:paraId="34EB7DA4" w14:textId="35D9F6B3"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D9D9D9" w:themeFill="background1" w:themeFillShade="D9"/>
          </w:tcPr>
          <w:p w14:paraId="493FD884" w14:textId="225D6DD2"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Salamander</w:t>
            </w:r>
          </w:p>
        </w:tc>
        <w:tc>
          <w:tcPr>
            <w:tcW w:w="2343" w:type="dxa"/>
            <w:shd w:val="clear" w:color="auto" w:fill="D9D9D9" w:themeFill="background1" w:themeFillShade="D9"/>
            <w:noWrap/>
            <w:vAlign w:val="center"/>
          </w:tcPr>
          <w:p w14:paraId="316214EC" w14:textId="7B3DE5BE"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Habitat</w:t>
            </w:r>
          </w:p>
        </w:tc>
        <w:tc>
          <w:tcPr>
            <w:tcW w:w="2245" w:type="dxa"/>
            <w:shd w:val="clear" w:color="auto" w:fill="D9D9D9" w:themeFill="background1" w:themeFillShade="D9"/>
            <w:noWrap/>
            <w:vAlign w:val="center"/>
          </w:tcPr>
          <w:p w14:paraId="1AC97AD4" w14:textId="769A776F"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0.002</w:t>
            </w:r>
          </w:p>
        </w:tc>
      </w:tr>
      <w:tr w:rsidR="003C60BB" w:rsidRPr="007B5A0E" w14:paraId="574E5F5C" w14:textId="77777777" w:rsidTr="001E1826">
        <w:trPr>
          <w:trHeight w:val="320"/>
        </w:trPr>
        <w:tc>
          <w:tcPr>
            <w:tcW w:w="2379" w:type="dxa"/>
            <w:shd w:val="clear" w:color="auto" w:fill="D9D9D9" w:themeFill="background1" w:themeFillShade="D9"/>
          </w:tcPr>
          <w:p w14:paraId="37C1FC4B" w14:textId="3C1A8686"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D9D9D9" w:themeFill="background1" w:themeFillShade="D9"/>
          </w:tcPr>
          <w:p w14:paraId="27F8899D" w14:textId="1FFB3B3E"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tcPr>
          <w:p w14:paraId="04C40C1A" w14:textId="2AB29279"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Species</w:t>
            </w:r>
          </w:p>
        </w:tc>
        <w:tc>
          <w:tcPr>
            <w:tcW w:w="2245" w:type="dxa"/>
            <w:shd w:val="clear" w:color="auto" w:fill="D9D9D9" w:themeFill="background1" w:themeFillShade="D9"/>
            <w:noWrap/>
            <w:vAlign w:val="center"/>
          </w:tcPr>
          <w:p w14:paraId="70110088" w14:textId="237361D0"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0.008</w:t>
            </w:r>
          </w:p>
        </w:tc>
      </w:tr>
      <w:tr w:rsidR="003C60BB" w:rsidRPr="007B5A0E" w14:paraId="7021610A" w14:textId="77777777" w:rsidTr="001E1826">
        <w:trPr>
          <w:trHeight w:val="320"/>
        </w:trPr>
        <w:tc>
          <w:tcPr>
            <w:tcW w:w="2379" w:type="dxa"/>
            <w:shd w:val="clear" w:color="auto" w:fill="D9D9D9" w:themeFill="background1" w:themeFillShade="D9"/>
          </w:tcPr>
          <w:p w14:paraId="0AEDF9C8" w14:textId="1AC539E9"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shd w:val="clear" w:color="auto" w:fill="D9D9D9" w:themeFill="background1" w:themeFillShade="D9"/>
          </w:tcPr>
          <w:p w14:paraId="66941B23" w14:textId="43D8F79B"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shd w:val="clear" w:color="auto" w:fill="D9D9D9" w:themeFill="background1" w:themeFillShade="D9"/>
            <w:noWrap/>
            <w:vAlign w:val="center"/>
          </w:tcPr>
          <w:p w14:paraId="5AE1F15E" w14:textId="2D871E11"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Site x Habitat</w:t>
            </w:r>
          </w:p>
        </w:tc>
        <w:tc>
          <w:tcPr>
            <w:tcW w:w="2245" w:type="dxa"/>
            <w:shd w:val="clear" w:color="auto" w:fill="D9D9D9" w:themeFill="background1" w:themeFillShade="D9"/>
            <w:noWrap/>
            <w:vAlign w:val="center"/>
          </w:tcPr>
          <w:p w14:paraId="28F59351" w14:textId="0EB95BAE"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0.004</w:t>
            </w:r>
          </w:p>
        </w:tc>
      </w:tr>
      <w:tr w:rsidR="003C60BB" w:rsidRPr="007B5A0E" w14:paraId="0C62E107" w14:textId="77777777" w:rsidTr="00606B06">
        <w:trPr>
          <w:trHeight w:val="320"/>
        </w:trPr>
        <w:tc>
          <w:tcPr>
            <w:tcW w:w="2379" w:type="dxa"/>
            <w:tcBorders>
              <w:bottom w:val="single" w:sz="4" w:space="0" w:color="auto"/>
            </w:tcBorders>
            <w:shd w:val="clear" w:color="auto" w:fill="D9D9D9" w:themeFill="background1" w:themeFillShade="D9"/>
          </w:tcPr>
          <w:p w14:paraId="37C39357" w14:textId="34527BAB"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tcBorders>
              <w:bottom w:val="single" w:sz="4" w:space="0" w:color="auto"/>
            </w:tcBorders>
            <w:shd w:val="clear" w:color="auto" w:fill="D9D9D9" w:themeFill="background1" w:themeFillShade="D9"/>
          </w:tcPr>
          <w:p w14:paraId="64F844F9" w14:textId="77AC553F"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tcBorders>
              <w:bottom w:val="single" w:sz="4" w:space="0" w:color="auto"/>
            </w:tcBorders>
            <w:shd w:val="clear" w:color="auto" w:fill="D9D9D9" w:themeFill="background1" w:themeFillShade="D9"/>
            <w:noWrap/>
            <w:vAlign w:val="center"/>
          </w:tcPr>
          <w:p w14:paraId="237AF287" w14:textId="74C93F23"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Site x Species</w:t>
            </w:r>
          </w:p>
        </w:tc>
        <w:tc>
          <w:tcPr>
            <w:tcW w:w="2245" w:type="dxa"/>
            <w:tcBorders>
              <w:bottom w:val="single" w:sz="4" w:space="0" w:color="auto"/>
            </w:tcBorders>
            <w:shd w:val="clear" w:color="auto" w:fill="D9D9D9" w:themeFill="background1" w:themeFillShade="D9"/>
            <w:noWrap/>
            <w:vAlign w:val="center"/>
          </w:tcPr>
          <w:p w14:paraId="3EB6F85D" w14:textId="70418318"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0.006</w:t>
            </w:r>
          </w:p>
        </w:tc>
      </w:tr>
      <w:tr w:rsidR="003C60BB" w:rsidRPr="007B5A0E" w14:paraId="09E0404C" w14:textId="77777777" w:rsidTr="00606B06">
        <w:trPr>
          <w:trHeight w:val="320"/>
        </w:trPr>
        <w:tc>
          <w:tcPr>
            <w:tcW w:w="2379" w:type="dxa"/>
            <w:tcBorders>
              <w:bottom w:val="nil"/>
            </w:tcBorders>
            <w:shd w:val="clear" w:color="auto" w:fill="D9D9D9" w:themeFill="background1" w:themeFillShade="D9"/>
          </w:tcPr>
          <w:p w14:paraId="18E82378" w14:textId="700CEAFA"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Sorensen</w:t>
            </w:r>
          </w:p>
        </w:tc>
        <w:tc>
          <w:tcPr>
            <w:tcW w:w="2383" w:type="dxa"/>
            <w:tcBorders>
              <w:bottom w:val="nil"/>
            </w:tcBorders>
            <w:shd w:val="clear" w:color="auto" w:fill="D9D9D9" w:themeFill="background1" w:themeFillShade="D9"/>
          </w:tcPr>
          <w:p w14:paraId="1CA57A27" w14:textId="71528486"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Salamanders</w:t>
            </w:r>
          </w:p>
        </w:tc>
        <w:tc>
          <w:tcPr>
            <w:tcW w:w="2343" w:type="dxa"/>
            <w:tcBorders>
              <w:bottom w:val="nil"/>
            </w:tcBorders>
            <w:shd w:val="clear" w:color="auto" w:fill="D9D9D9" w:themeFill="background1" w:themeFillShade="D9"/>
            <w:noWrap/>
            <w:vAlign w:val="center"/>
          </w:tcPr>
          <w:p w14:paraId="134BEF8E" w14:textId="2022CBD8" w:rsidR="003C60BB" w:rsidRDefault="003C60BB" w:rsidP="007B5A0E">
            <w:pPr>
              <w:jc w:val="center"/>
              <w:rPr>
                <w:rFonts w:ascii="Times New Roman" w:hAnsi="Times New Roman" w:cs="Times New Roman"/>
                <w:color w:val="000000"/>
              </w:rPr>
            </w:pPr>
            <w:r>
              <w:rPr>
                <w:rFonts w:ascii="Times New Roman" w:hAnsi="Times New Roman" w:cs="Times New Roman"/>
                <w:color w:val="000000"/>
              </w:rPr>
              <w:t>Habitat x Species</w:t>
            </w:r>
          </w:p>
        </w:tc>
        <w:tc>
          <w:tcPr>
            <w:tcW w:w="2245" w:type="dxa"/>
            <w:tcBorders>
              <w:bottom w:val="nil"/>
            </w:tcBorders>
            <w:shd w:val="clear" w:color="auto" w:fill="D9D9D9" w:themeFill="background1" w:themeFillShade="D9"/>
            <w:noWrap/>
            <w:vAlign w:val="center"/>
          </w:tcPr>
          <w:p w14:paraId="6331D5B4" w14:textId="4D3821DD" w:rsidR="003C60BB" w:rsidRDefault="003C60BB" w:rsidP="00122B3E">
            <w:pPr>
              <w:keepNext/>
              <w:jc w:val="center"/>
              <w:rPr>
                <w:rFonts w:ascii="Times New Roman" w:hAnsi="Times New Roman" w:cs="Times New Roman"/>
                <w:color w:val="000000"/>
              </w:rPr>
            </w:pPr>
            <w:r>
              <w:rPr>
                <w:rFonts w:ascii="Times New Roman" w:hAnsi="Times New Roman" w:cs="Times New Roman"/>
                <w:color w:val="000000"/>
              </w:rPr>
              <w:t>0.008</w:t>
            </w:r>
          </w:p>
        </w:tc>
      </w:tr>
    </w:tbl>
    <w:p w14:paraId="14C2E48F" w14:textId="77777777" w:rsidR="0003798D" w:rsidRDefault="0003798D" w:rsidP="0003798D">
      <w:pPr>
        <w:tabs>
          <w:tab w:val="center" w:pos="4320"/>
        </w:tabs>
      </w:pPr>
    </w:p>
    <w:p w14:paraId="30BD2128" w14:textId="77777777" w:rsidR="003C60BB" w:rsidRPr="00755F44" w:rsidRDefault="003C60BB" w:rsidP="0003798D">
      <w:pPr>
        <w:tabs>
          <w:tab w:val="center" w:pos="4320"/>
        </w:tabs>
        <w:sectPr w:rsidR="003C60BB" w:rsidRPr="00755F44" w:rsidSect="00457804">
          <w:pgSz w:w="12240" w:h="15840" w:code="1"/>
          <w:pgMar w:top="1440" w:right="1440" w:bottom="1440" w:left="1440" w:header="720" w:footer="1440" w:gutter="0"/>
          <w:cols w:space="720"/>
          <w:noEndnote/>
          <w:docGrid w:linePitch="360"/>
        </w:sectPr>
      </w:pPr>
    </w:p>
    <w:tbl>
      <w:tblPr>
        <w:tblpPr w:leftFromText="180" w:rightFromText="180" w:vertAnchor="text" w:horzAnchor="margin" w:tblpXSpec="center" w:tblpY="426"/>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35"/>
        <w:gridCol w:w="2255"/>
        <w:gridCol w:w="2155"/>
      </w:tblGrid>
      <w:tr w:rsidR="003C60BB" w:rsidRPr="000D1C08" w14:paraId="677DA8B5" w14:textId="77777777" w:rsidTr="00606B06">
        <w:trPr>
          <w:trHeight w:val="320"/>
        </w:trPr>
        <w:tc>
          <w:tcPr>
            <w:tcW w:w="2335" w:type="dxa"/>
            <w:tcBorders>
              <w:top w:val="nil"/>
            </w:tcBorders>
            <w:shd w:val="clear" w:color="auto" w:fill="F2F2F2" w:themeFill="background1" w:themeFillShade="F2"/>
          </w:tcPr>
          <w:bookmarkEnd w:id="194"/>
          <w:p w14:paraId="34D29CBD" w14:textId="69A22066" w:rsidR="003C60BB" w:rsidRPr="001E1826" w:rsidRDefault="003C60BB"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lastRenderedPageBreak/>
              <w:t>Morisita</w:t>
            </w:r>
            <w:proofErr w:type="spellEnd"/>
            <w:r w:rsidRPr="001E1826">
              <w:rPr>
                <w:rFonts w:ascii="Times New Roman" w:hAnsi="Times New Roman" w:cs="Times New Roman"/>
                <w:color w:val="000000"/>
              </w:rPr>
              <w:t>-Horn</w:t>
            </w:r>
          </w:p>
        </w:tc>
        <w:tc>
          <w:tcPr>
            <w:tcW w:w="2335" w:type="dxa"/>
            <w:tcBorders>
              <w:top w:val="nil"/>
            </w:tcBorders>
            <w:shd w:val="clear" w:color="auto" w:fill="F2F2F2" w:themeFill="background1" w:themeFillShade="F2"/>
          </w:tcPr>
          <w:p w14:paraId="7BE5DED5" w14:textId="2D12FE77"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All Samples</w:t>
            </w:r>
          </w:p>
        </w:tc>
        <w:tc>
          <w:tcPr>
            <w:tcW w:w="2255" w:type="dxa"/>
            <w:tcBorders>
              <w:top w:val="nil"/>
            </w:tcBorders>
            <w:shd w:val="clear" w:color="auto" w:fill="F2F2F2" w:themeFill="background1" w:themeFillShade="F2"/>
            <w:noWrap/>
            <w:vAlign w:val="center"/>
            <w:hideMark/>
          </w:tcPr>
          <w:p w14:paraId="237DFD2A" w14:textId="72B7452E"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Site</w:t>
            </w:r>
          </w:p>
        </w:tc>
        <w:tc>
          <w:tcPr>
            <w:tcW w:w="2155" w:type="dxa"/>
            <w:tcBorders>
              <w:top w:val="nil"/>
            </w:tcBorders>
            <w:shd w:val="clear" w:color="auto" w:fill="F2F2F2" w:themeFill="background1" w:themeFillShade="F2"/>
            <w:noWrap/>
            <w:vAlign w:val="center"/>
            <w:hideMark/>
          </w:tcPr>
          <w:p w14:paraId="3365E7E2"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0.05</w:t>
            </w:r>
          </w:p>
        </w:tc>
      </w:tr>
      <w:tr w:rsidR="003C60BB" w:rsidRPr="000D1C08" w14:paraId="1984D1EC" w14:textId="77777777" w:rsidTr="001E1826">
        <w:trPr>
          <w:trHeight w:val="320"/>
        </w:trPr>
        <w:tc>
          <w:tcPr>
            <w:tcW w:w="2335" w:type="dxa"/>
            <w:shd w:val="clear" w:color="auto" w:fill="F2F2F2" w:themeFill="background1" w:themeFillShade="F2"/>
          </w:tcPr>
          <w:p w14:paraId="6C7C6254" w14:textId="0BC1D40E" w:rsidR="003C60BB" w:rsidRPr="001E1826" w:rsidRDefault="003C60BB"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2F2F2" w:themeFill="background1" w:themeFillShade="F2"/>
          </w:tcPr>
          <w:p w14:paraId="42D1DD39" w14:textId="4CB8E064"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All Samples</w:t>
            </w:r>
          </w:p>
        </w:tc>
        <w:tc>
          <w:tcPr>
            <w:tcW w:w="2255" w:type="dxa"/>
            <w:shd w:val="clear" w:color="auto" w:fill="F2F2F2" w:themeFill="background1" w:themeFillShade="F2"/>
            <w:noWrap/>
            <w:vAlign w:val="center"/>
            <w:hideMark/>
          </w:tcPr>
          <w:p w14:paraId="5ABE1F43" w14:textId="3CA28B96"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Type</w:t>
            </w:r>
          </w:p>
        </w:tc>
        <w:tc>
          <w:tcPr>
            <w:tcW w:w="2155" w:type="dxa"/>
            <w:shd w:val="clear" w:color="auto" w:fill="F2F2F2" w:themeFill="background1" w:themeFillShade="F2"/>
            <w:noWrap/>
            <w:vAlign w:val="center"/>
            <w:hideMark/>
          </w:tcPr>
          <w:p w14:paraId="4AC242AD"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0.037</w:t>
            </w:r>
          </w:p>
        </w:tc>
      </w:tr>
      <w:tr w:rsidR="003C60BB" w:rsidRPr="000D1C08" w14:paraId="13EE8DAD" w14:textId="77777777" w:rsidTr="001E1826">
        <w:trPr>
          <w:trHeight w:val="320"/>
        </w:trPr>
        <w:tc>
          <w:tcPr>
            <w:tcW w:w="2335" w:type="dxa"/>
            <w:shd w:val="clear" w:color="auto" w:fill="F2F2F2" w:themeFill="background1" w:themeFillShade="F2"/>
          </w:tcPr>
          <w:p w14:paraId="5FC65412" w14:textId="25F0DF40" w:rsidR="003C60BB" w:rsidRPr="001E1826" w:rsidRDefault="003C60BB"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2F2F2" w:themeFill="background1" w:themeFillShade="F2"/>
          </w:tcPr>
          <w:p w14:paraId="6752D52D" w14:textId="6B8528E7"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All Samples</w:t>
            </w:r>
          </w:p>
        </w:tc>
        <w:tc>
          <w:tcPr>
            <w:tcW w:w="2255" w:type="dxa"/>
            <w:shd w:val="clear" w:color="auto" w:fill="F2F2F2" w:themeFill="background1" w:themeFillShade="F2"/>
            <w:noWrap/>
            <w:vAlign w:val="center"/>
            <w:hideMark/>
          </w:tcPr>
          <w:p w14:paraId="177613DE" w14:textId="0820A47C"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Habitat</w:t>
            </w:r>
          </w:p>
        </w:tc>
        <w:tc>
          <w:tcPr>
            <w:tcW w:w="2155" w:type="dxa"/>
            <w:shd w:val="clear" w:color="auto" w:fill="F2F2F2" w:themeFill="background1" w:themeFillShade="F2"/>
            <w:noWrap/>
            <w:vAlign w:val="center"/>
            <w:hideMark/>
          </w:tcPr>
          <w:p w14:paraId="27E4E9EA"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0.065</w:t>
            </w:r>
          </w:p>
        </w:tc>
      </w:tr>
      <w:tr w:rsidR="003C60BB" w:rsidRPr="000D1C08" w14:paraId="2DC2E89D" w14:textId="77777777" w:rsidTr="001E1826">
        <w:trPr>
          <w:trHeight w:val="320"/>
        </w:trPr>
        <w:tc>
          <w:tcPr>
            <w:tcW w:w="2335" w:type="dxa"/>
            <w:shd w:val="clear" w:color="auto" w:fill="FFFFFF" w:themeFill="background1"/>
          </w:tcPr>
          <w:p w14:paraId="2517628C" w14:textId="2232D3A0" w:rsidR="003C60BB" w:rsidRPr="001E1826" w:rsidRDefault="00567845"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FFFFF" w:themeFill="background1"/>
          </w:tcPr>
          <w:p w14:paraId="2BE4AFCF" w14:textId="044EB07A"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Cover Objects</w:t>
            </w:r>
          </w:p>
        </w:tc>
        <w:tc>
          <w:tcPr>
            <w:tcW w:w="2255" w:type="dxa"/>
            <w:shd w:val="clear" w:color="auto" w:fill="FFFFFF" w:themeFill="background1"/>
            <w:noWrap/>
            <w:vAlign w:val="center"/>
            <w:hideMark/>
          </w:tcPr>
          <w:p w14:paraId="766D7CF5" w14:textId="5E4F866B"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Site</w:t>
            </w:r>
          </w:p>
        </w:tc>
        <w:tc>
          <w:tcPr>
            <w:tcW w:w="2155" w:type="dxa"/>
            <w:shd w:val="clear" w:color="auto" w:fill="FFFFFF" w:themeFill="background1"/>
            <w:noWrap/>
            <w:vAlign w:val="center"/>
            <w:hideMark/>
          </w:tcPr>
          <w:p w14:paraId="615FA828"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0.045</w:t>
            </w:r>
          </w:p>
        </w:tc>
      </w:tr>
      <w:tr w:rsidR="003C60BB" w:rsidRPr="000D1C08" w14:paraId="475D4BC3" w14:textId="77777777" w:rsidTr="001E1826">
        <w:trPr>
          <w:trHeight w:val="320"/>
        </w:trPr>
        <w:tc>
          <w:tcPr>
            <w:tcW w:w="2335" w:type="dxa"/>
            <w:shd w:val="clear" w:color="auto" w:fill="FFFFFF" w:themeFill="background1"/>
          </w:tcPr>
          <w:p w14:paraId="7B2FAB40" w14:textId="68C35866" w:rsidR="003C60BB" w:rsidRPr="001E1826" w:rsidRDefault="00567845"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FFFFF" w:themeFill="background1"/>
          </w:tcPr>
          <w:p w14:paraId="55103266" w14:textId="7B32301B"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Cover Objects</w:t>
            </w:r>
          </w:p>
        </w:tc>
        <w:tc>
          <w:tcPr>
            <w:tcW w:w="2255" w:type="dxa"/>
            <w:shd w:val="clear" w:color="auto" w:fill="FFFFFF" w:themeFill="background1"/>
            <w:noWrap/>
            <w:vAlign w:val="center"/>
            <w:hideMark/>
          </w:tcPr>
          <w:p w14:paraId="29629FF6" w14:textId="7F39521E"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Habitat</w:t>
            </w:r>
          </w:p>
        </w:tc>
        <w:tc>
          <w:tcPr>
            <w:tcW w:w="2155" w:type="dxa"/>
            <w:shd w:val="clear" w:color="auto" w:fill="FFFFFF" w:themeFill="background1"/>
            <w:noWrap/>
            <w:vAlign w:val="center"/>
            <w:hideMark/>
          </w:tcPr>
          <w:p w14:paraId="479F5A70"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0.077</w:t>
            </w:r>
          </w:p>
        </w:tc>
      </w:tr>
      <w:tr w:rsidR="003C60BB" w:rsidRPr="000D1C08" w14:paraId="226DB284" w14:textId="77777777" w:rsidTr="001E1826">
        <w:trPr>
          <w:trHeight w:val="320"/>
        </w:trPr>
        <w:tc>
          <w:tcPr>
            <w:tcW w:w="2335" w:type="dxa"/>
            <w:shd w:val="clear" w:color="auto" w:fill="FFFFFF" w:themeFill="background1"/>
          </w:tcPr>
          <w:p w14:paraId="49E82337" w14:textId="292329BB" w:rsidR="003C60BB" w:rsidRPr="001E1826" w:rsidRDefault="00567845"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FFFFF" w:themeFill="background1"/>
          </w:tcPr>
          <w:p w14:paraId="2CA4CF6B" w14:textId="4F6C7DE2"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Cover Objects</w:t>
            </w:r>
          </w:p>
        </w:tc>
        <w:tc>
          <w:tcPr>
            <w:tcW w:w="2255" w:type="dxa"/>
            <w:shd w:val="clear" w:color="auto" w:fill="FFFFFF" w:themeFill="background1"/>
            <w:noWrap/>
            <w:vAlign w:val="center"/>
            <w:hideMark/>
          </w:tcPr>
          <w:p w14:paraId="61303FD8" w14:textId="696A434D"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Species</w:t>
            </w:r>
          </w:p>
        </w:tc>
        <w:tc>
          <w:tcPr>
            <w:tcW w:w="2155" w:type="dxa"/>
            <w:shd w:val="clear" w:color="auto" w:fill="FFFFFF" w:themeFill="background1"/>
            <w:noWrap/>
            <w:vAlign w:val="center"/>
            <w:hideMark/>
          </w:tcPr>
          <w:p w14:paraId="130E30AA"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0.011</w:t>
            </w:r>
          </w:p>
        </w:tc>
      </w:tr>
      <w:tr w:rsidR="003C60BB" w:rsidRPr="000D1C08" w14:paraId="3645275C" w14:textId="77777777" w:rsidTr="001E1826">
        <w:trPr>
          <w:trHeight w:val="320"/>
        </w:trPr>
        <w:tc>
          <w:tcPr>
            <w:tcW w:w="2335" w:type="dxa"/>
            <w:shd w:val="clear" w:color="auto" w:fill="FFFFFF" w:themeFill="background1"/>
          </w:tcPr>
          <w:p w14:paraId="1C9BBA75" w14:textId="4504BB42" w:rsidR="003C60BB" w:rsidRPr="001E1826" w:rsidRDefault="00567845"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FFFFF" w:themeFill="background1"/>
          </w:tcPr>
          <w:p w14:paraId="67EA8A1E" w14:textId="10262D88"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Cover Objects</w:t>
            </w:r>
          </w:p>
        </w:tc>
        <w:tc>
          <w:tcPr>
            <w:tcW w:w="2255" w:type="dxa"/>
            <w:shd w:val="clear" w:color="auto" w:fill="FFFFFF" w:themeFill="background1"/>
            <w:noWrap/>
            <w:vAlign w:val="center"/>
            <w:hideMark/>
          </w:tcPr>
          <w:p w14:paraId="656633BD" w14:textId="49B60BAB"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Site x Habitat</w:t>
            </w:r>
          </w:p>
        </w:tc>
        <w:tc>
          <w:tcPr>
            <w:tcW w:w="2155" w:type="dxa"/>
            <w:shd w:val="clear" w:color="auto" w:fill="FFFFFF" w:themeFill="background1"/>
            <w:noWrap/>
            <w:vAlign w:val="center"/>
            <w:hideMark/>
          </w:tcPr>
          <w:p w14:paraId="1CDBC5EF"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0.064</w:t>
            </w:r>
          </w:p>
        </w:tc>
      </w:tr>
      <w:tr w:rsidR="003C60BB" w:rsidRPr="000D1C08" w14:paraId="23794EF9" w14:textId="77777777" w:rsidTr="001E1826">
        <w:trPr>
          <w:trHeight w:val="320"/>
        </w:trPr>
        <w:tc>
          <w:tcPr>
            <w:tcW w:w="2335" w:type="dxa"/>
            <w:shd w:val="clear" w:color="auto" w:fill="FFFFFF" w:themeFill="background1"/>
          </w:tcPr>
          <w:p w14:paraId="2B553081" w14:textId="6190A206" w:rsidR="003C60BB" w:rsidRPr="001E1826" w:rsidRDefault="00567845"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FFFFF" w:themeFill="background1"/>
          </w:tcPr>
          <w:p w14:paraId="3AC1DCFC" w14:textId="23AD797F"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Cover Objects</w:t>
            </w:r>
          </w:p>
        </w:tc>
        <w:tc>
          <w:tcPr>
            <w:tcW w:w="2255" w:type="dxa"/>
            <w:shd w:val="clear" w:color="auto" w:fill="FFFFFF" w:themeFill="background1"/>
            <w:noWrap/>
            <w:vAlign w:val="center"/>
            <w:hideMark/>
          </w:tcPr>
          <w:p w14:paraId="1603BD7B" w14:textId="2BC1896D"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Site x Species</w:t>
            </w:r>
          </w:p>
        </w:tc>
        <w:tc>
          <w:tcPr>
            <w:tcW w:w="2155" w:type="dxa"/>
            <w:shd w:val="clear" w:color="auto" w:fill="FFFFFF" w:themeFill="background1"/>
            <w:noWrap/>
            <w:vAlign w:val="center"/>
            <w:hideMark/>
          </w:tcPr>
          <w:p w14:paraId="2888CEFC"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0.016</w:t>
            </w:r>
          </w:p>
        </w:tc>
      </w:tr>
      <w:tr w:rsidR="003C60BB" w:rsidRPr="000D1C08" w14:paraId="656A9210" w14:textId="77777777" w:rsidTr="001E1826">
        <w:trPr>
          <w:trHeight w:val="320"/>
        </w:trPr>
        <w:tc>
          <w:tcPr>
            <w:tcW w:w="2335" w:type="dxa"/>
            <w:shd w:val="clear" w:color="auto" w:fill="FFFFFF" w:themeFill="background1"/>
          </w:tcPr>
          <w:p w14:paraId="77107049" w14:textId="04A4B239" w:rsidR="003C60BB" w:rsidRPr="001E1826" w:rsidRDefault="00567845"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FFFFFF" w:themeFill="background1"/>
          </w:tcPr>
          <w:p w14:paraId="650CB108" w14:textId="511AD4BA" w:rsidR="003C60BB" w:rsidRPr="001E1826" w:rsidRDefault="00567845" w:rsidP="003C60BB">
            <w:pPr>
              <w:jc w:val="center"/>
              <w:rPr>
                <w:rFonts w:ascii="Times New Roman" w:hAnsi="Times New Roman" w:cs="Times New Roman"/>
                <w:color w:val="000000"/>
              </w:rPr>
            </w:pPr>
            <w:r w:rsidRPr="001E1826">
              <w:rPr>
                <w:rFonts w:ascii="Times New Roman" w:hAnsi="Times New Roman" w:cs="Times New Roman"/>
                <w:color w:val="000000"/>
              </w:rPr>
              <w:t>Cover Objects</w:t>
            </w:r>
          </w:p>
        </w:tc>
        <w:tc>
          <w:tcPr>
            <w:tcW w:w="2255" w:type="dxa"/>
            <w:shd w:val="clear" w:color="auto" w:fill="FFFFFF" w:themeFill="background1"/>
            <w:noWrap/>
            <w:vAlign w:val="center"/>
            <w:hideMark/>
          </w:tcPr>
          <w:p w14:paraId="7FD76D7C" w14:textId="3A4786D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Habitat x Species</w:t>
            </w:r>
          </w:p>
        </w:tc>
        <w:tc>
          <w:tcPr>
            <w:tcW w:w="2155" w:type="dxa"/>
            <w:shd w:val="clear" w:color="auto" w:fill="FFFFFF" w:themeFill="background1"/>
            <w:noWrap/>
            <w:vAlign w:val="center"/>
            <w:hideMark/>
          </w:tcPr>
          <w:p w14:paraId="069035BF"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0.145</w:t>
            </w:r>
          </w:p>
        </w:tc>
      </w:tr>
      <w:tr w:rsidR="003C60BB" w:rsidRPr="000D1C08" w14:paraId="593CDED9" w14:textId="77777777" w:rsidTr="001F7825">
        <w:trPr>
          <w:trHeight w:val="320"/>
        </w:trPr>
        <w:tc>
          <w:tcPr>
            <w:tcW w:w="2335" w:type="dxa"/>
            <w:shd w:val="clear" w:color="auto" w:fill="D9D9D9" w:themeFill="background1" w:themeFillShade="D9"/>
          </w:tcPr>
          <w:p w14:paraId="11C90CFA" w14:textId="3303D5F0" w:rsidR="003C60BB" w:rsidRPr="001E1826" w:rsidRDefault="00983DD3" w:rsidP="003C60BB">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D9D9D9" w:themeFill="background1" w:themeFillShade="D9"/>
          </w:tcPr>
          <w:p w14:paraId="412FF6D7" w14:textId="7E2542CA" w:rsidR="003C60BB" w:rsidRPr="001E1826" w:rsidRDefault="00983DD3" w:rsidP="003C60BB">
            <w:pPr>
              <w:jc w:val="center"/>
              <w:rPr>
                <w:rFonts w:ascii="Times New Roman" w:hAnsi="Times New Roman" w:cs="Times New Roman"/>
                <w:color w:val="000000"/>
              </w:rPr>
            </w:pPr>
            <w:r w:rsidRPr="001E1826">
              <w:rPr>
                <w:rFonts w:ascii="Times New Roman" w:hAnsi="Times New Roman" w:cs="Times New Roman"/>
                <w:color w:val="000000"/>
              </w:rPr>
              <w:t>Salamanders</w:t>
            </w:r>
          </w:p>
        </w:tc>
        <w:tc>
          <w:tcPr>
            <w:tcW w:w="2255" w:type="dxa"/>
            <w:shd w:val="clear" w:color="auto" w:fill="D9D9D9" w:themeFill="background1" w:themeFillShade="D9"/>
            <w:noWrap/>
            <w:vAlign w:val="center"/>
            <w:hideMark/>
          </w:tcPr>
          <w:p w14:paraId="00C6420E" w14:textId="4185B2FA"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Site</w:t>
            </w:r>
          </w:p>
        </w:tc>
        <w:tc>
          <w:tcPr>
            <w:tcW w:w="2155" w:type="dxa"/>
            <w:shd w:val="clear" w:color="auto" w:fill="D9D9D9" w:themeFill="background1" w:themeFillShade="D9"/>
            <w:noWrap/>
            <w:vAlign w:val="center"/>
            <w:hideMark/>
          </w:tcPr>
          <w:p w14:paraId="50E0C044" w14:textId="77777777" w:rsidR="003C60BB" w:rsidRPr="000D1C08" w:rsidRDefault="003C60BB" w:rsidP="003C60BB">
            <w:pPr>
              <w:jc w:val="center"/>
              <w:rPr>
                <w:rFonts w:ascii="Times New Roman" w:hAnsi="Times New Roman" w:cs="Times New Roman"/>
                <w:color w:val="000000"/>
              </w:rPr>
            </w:pPr>
            <w:r w:rsidRPr="000D1C08">
              <w:rPr>
                <w:rFonts w:ascii="Times New Roman" w:hAnsi="Times New Roman" w:cs="Times New Roman"/>
                <w:color w:val="000000"/>
              </w:rPr>
              <w:t>0.036</w:t>
            </w:r>
          </w:p>
        </w:tc>
      </w:tr>
      <w:tr w:rsidR="00983DD3" w:rsidRPr="000D1C08" w14:paraId="6D08F889" w14:textId="77777777" w:rsidTr="001F7825">
        <w:trPr>
          <w:trHeight w:val="320"/>
        </w:trPr>
        <w:tc>
          <w:tcPr>
            <w:tcW w:w="2335" w:type="dxa"/>
            <w:shd w:val="clear" w:color="auto" w:fill="D9D9D9" w:themeFill="background1" w:themeFillShade="D9"/>
          </w:tcPr>
          <w:p w14:paraId="4A0FA314" w14:textId="7CEF9222" w:rsidR="00983DD3" w:rsidRPr="001E1826" w:rsidRDefault="00983DD3" w:rsidP="00983DD3">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D9D9D9" w:themeFill="background1" w:themeFillShade="D9"/>
          </w:tcPr>
          <w:p w14:paraId="499F0824" w14:textId="68B06B66" w:rsidR="00983DD3" w:rsidRPr="001E1826" w:rsidRDefault="00983DD3" w:rsidP="00983DD3">
            <w:pPr>
              <w:jc w:val="center"/>
              <w:rPr>
                <w:rFonts w:ascii="Times New Roman" w:hAnsi="Times New Roman" w:cs="Times New Roman"/>
                <w:color w:val="000000"/>
              </w:rPr>
            </w:pPr>
            <w:r w:rsidRPr="001E1826">
              <w:rPr>
                <w:rFonts w:ascii="Times New Roman" w:hAnsi="Times New Roman" w:cs="Times New Roman"/>
                <w:color w:val="000000"/>
              </w:rPr>
              <w:t>Salamanders</w:t>
            </w:r>
          </w:p>
        </w:tc>
        <w:tc>
          <w:tcPr>
            <w:tcW w:w="2255" w:type="dxa"/>
            <w:shd w:val="clear" w:color="auto" w:fill="D9D9D9" w:themeFill="background1" w:themeFillShade="D9"/>
            <w:noWrap/>
            <w:vAlign w:val="center"/>
            <w:hideMark/>
          </w:tcPr>
          <w:p w14:paraId="0F3E1097" w14:textId="681D5DA9"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Habitat</w:t>
            </w:r>
          </w:p>
        </w:tc>
        <w:tc>
          <w:tcPr>
            <w:tcW w:w="2155" w:type="dxa"/>
            <w:shd w:val="clear" w:color="auto" w:fill="D9D9D9" w:themeFill="background1" w:themeFillShade="D9"/>
            <w:noWrap/>
            <w:vAlign w:val="center"/>
            <w:hideMark/>
          </w:tcPr>
          <w:p w14:paraId="5B0F1798" w14:textId="77777777"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0.004</w:t>
            </w:r>
          </w:p>
        </w:tc>
      </w:tr>
      <w:tr w:rsidR="00983DD3" w:rsidRPr="000D1C08" w14:paraId="55A3063C" w14:textId="77777777" w:rsidTr="001F7825">
        <w:trPr>
          <w:trHeight w:val="320"/>
        </w:trPr>
        <w:tc>
          <w:tcPr>
            <w:tcW w:w="2335" w:type="dxa"/>
            <w:shd w:val="clear" w:color="auto" w:fill="D9D9D9" w:themeFill="background1" w:themeFillShade="D9"/>
          </w:tcPr>
          <w:p w14:paraId="1A083D93" w14:textId="608C22C2" w:rsidR="00983DD3" w:rsidRPr="001E1826" w:rsidRDefault="00983DD3" w:rsidP="00983DD3">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D9D9D9" w:themeFill="background1" w:themeFillShade="D9"/>
          </w:tcPr>
          <w:p w14:paraId="55EF09DA" w14:textId="53151D64" w:rsidR="00983DD3" w:rsidRPr="001E1826" w:rsidRDefault="00983DD3" w:rsidP="00983DD3">
            <w:pPr>
              <w:jc w:val="center"/>
              <w:rPr>
                <w:rFonts w:ascii="Times New Roman" w:hAnsi="Times New Roman" w:cs="Times New Roman"/>
                <w:color w:val="000000"/>
              </w:rPr>
            </w:pPr>
            <w:r w:rsidRPr="001E1826">
              <w:rPr>
                <w:rFonts w:ascii="Times New Roman" w:hAnsi="Times New Roman" w:cs="Times New Roman"/>
                <w:color w:val="000000"/>
              </w:rPr>
              <w:t>Salamanders</w:t>
            </w:r>
          </w:p>
        </w:tc>
        <w:tc>
          <w:tcPr>
            <w:tcW w:w="2255" w:type="dxa"/>
            <w:shd w:val="clear" w:color="auto" w:fill="D9D9D9" w:themeFill="background1" w:themeFillShade="D9"/>
            <w:noWrap/>
            <w:vAlign w:val="center"/>
            <w:hideMark/>
          </w:tcPr>
          <w:p w14:paraId="0C338334" w14:textId="75082E8F"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Species</w:t>
            </w:r>
          </w:p>
        </w:tc>
        <w:tc>
          <w:tcPr>
            <w:tcW w:w="2155" w:type="dxa"/>
            <w:shd w:val="clear" w:color="auto" w:fill="D9D9D9" w:themeFill="background1" w:themeFillShade="D9"/>
            <w:noWrap/>
            <w:vAlign w:val="center"/>
            <w:hideMark/>
          </w:tcPr>
          <w:p w14:paraId="2F3D16DE" w14:textId="77777777"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0.011</w:t>
            </w:r>
          </w:p>
        </w:tc>
      </w:tr>
      <w:tr w:rsidR="00983DD3" w:rsidRPr="000D1C08" w14:paraId="741C65D1" w14:textId="77777777" w:rsidTr="001F7825">
        <w:trPr>
          <w:trHeight w:val="320"/>
        </w:trPr>
        <w:tc>
          <w:tcPr>
            <w:tcW w:w="2335" w:type="dxa"/>
            <w:shd w:val="clear" w:color="auto" w:fill="D9D9D9" w:themeFill="background1" w:themeFillShade="D9"/>
          </w:tcPr>
          <w:p w14:paraId="2B5E2D12" w14:textId="46031679" w:rsidR="00983DD3" w:rsidRPr="001E1826" w:rsidRDefault="00983DD3" w:rsidP="00983DD3">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D9D9D9" w:themeFill="background1" w:themeFillShade="D9"/>
          </w:tcPr>
          <w:p w14:paraId="65D68ADF" w14:textId="6C157066" w:rsidR="00983DD3" w:rsidRPr="001E1826" w:rsidRDefault="00983DD3" w:rsidP="00983DD3">
            <w:pPr>
              <w:jc w:val="center"/>
              <w:rPr>
                <w:rFonts w:ascii="Times New Roman" w:hAnsi="Times New Roman" w:cs="Times New Roman"/>
                <w:color w:val="000000"/>
              </w:rPr>
            </w:pPr>
            <w:r w:rsidRPr="001E1826">
              <w:rPr>
                <w:rFonts w:ascii="Times New Roman" w:hAnsi="Times New Roman" w:cs="Times New Roman"/>
                <w:color w:val="000000"/>
              </w:rPr>
              <w:t>Salamanders</w:t>
            </w:r>
          </w:p>
        </w:tc>
        <w:tc>
          <w:tcPr>
            <w:tcW w:w="2255" w:type="dxa"/>
            <w:shd w:val="clear" w:color="auto" w:fill="D9D9D9" w:themeFill="background1" w:themeFillShade="D9"/>
            <w:noWrap/>
            <w:vAlign w:val="center"/>
            <w:hideMark/>
          </w:tcPr>
          <w:p w14:paraId="6A32FF7D" w14:textId="4E59CB3C"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Site x Habitat</w:t>
            </w:r>
          </w:p>
        </w:tc>
        <w:tc>
          <w:tcPr>
            <w:tcW w:w="2155" w:type="dxa"/>
            <w:shd w:val="clear" w:color="auto" w:fill="D9D9D9" w:themeFill="background1" w:themeFillShade="D9"/>
            <w:noWrap/>
            <w:vAlign w:val="center"/>
            <w:hideMark/>
          </w:tcPr>
          <w:p w14:paraId="41805A7E" w14:textId="77777777"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0.006</w:t>
            </w:r>
          </w:p>
        </w:tc>
      </w:tr>
      <w:tr w:rsidR="00983DD3" w:rsidRPr="000D1C08" w14:paraId="2DC47295" w14:textId="77777777" w:rsidTr="001F7825">
        <w:trPr>
          <w:trHeight w:val="320"/>
        </w:trPr>
        <w:tc>
          <w:tcPr>
            <w:tcW w:w="2335" w:type="dxa"/>
            <w:shd w:val="clear" w:color="auto" w:fill="D9D9D9" w:themeFill="background1" w:themeFillShade="D9"/>
          </w:tcPr>
          <w:p w14:paraId="61EAD77E" w14:textId="519100EF" w:rsidR="00983DD3" w:rsidRPr="001E1826" w:rsidRDefault="00983DD3" w:rsidP="00983DD3">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D9D9D9" w:themeFill="background1" w:themeFillShade="D9"/>
          </w:tcPr>
          <w:p w14:paraId="29F53906" w14:textId="0D85E88D" w:rsidR="00983DD3" w:rsidRPr="001E1826" w:rsidRDefault="00983DD3" w:rsidP="00983DD3">
            <w:pPr>
              <w:jc w:val="center"/>
              <w:rPr>
                <w:rFonts w:ascii="Times New Roman" w:hAnsi="Times New Roman" w:cs="Times New Roman"/>
                <w:color w:val="000000"/>
              </w:rPr>
            </w:pPr>
            <w:r w:rsidRPr="001E1826">
              <w:rPr>
                <w:rFonts w:ascii="Times New Roman" w:hAnsi="Times New Roman" w:cs="Times New Roman"/>
                <w:color w:val="000000"/>
              </w:rPr>
              <w:t>Salamanders</w:t>
            </w:r>
          </w:p>
        </w:tc>
        <w:tc>
          <w:tcPr>
            <w:tcW w:w="2255" w:type="dxa"/>
            <w:shd w:val="clear" w:color="auto" w:fill="D9D9D9" w:themeFill="background1" w:themeFillShade="D9"/>
            <w:noWrap/>
            <w:vAlign w:val="center"/>
            <w:hideMark/>
          </w:tcPr>
          <w:p w14:paraId="007AFF29" w14:textId="729A7130"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Site x Species</w:t>
            </w:r>
          </w:p>
        </w:tc>
        <w:tc>
          <w:tcPr>
            <w:tcW w:w="2155" w:type="dxa"/>
            <w:shd w:val="clear" w:color="auto" w:fill="D9D9D9" w:themeFill="background1" w:themeFillShade="D9"/>
            <w:noWrap/>
            <w:vAlign w:val="center"/>
            <w:hideMark/>
          </w:tcPr>
          <w:p w14:paraId="099B8185" w14:textId="77777777"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0.02</w:t>
            </w:r>
          </w:p>
        </w:tc>
      </w:tr>
      <w:tr w:rsidR="00983DD3" w:rsidRPr="000D1C08" w14:paraId="4904BAC5" w14:textId="77777777" w:rsidTr="001F7825">
        <w:trPr>
          <w:trHeight w:val="320"/>
        </w:trPr>
        <w:tc>
          <w:tcPr>
            <w:tcW w:w="2335" w:type="dxa"/>
            <w:shd w:val="clear" w:color="auto" w:fill="D9D9D9" w:themeFill="background1" w:themeFillShade="D9"/>
          </w:tcPr>
          <w:p w14:paraId="57A1EA29" w14:textId="2763293D" w:rsidR="00983DD3" w:rsidRPr="001E1826" w:rsidRDefault="00983DD3" w:rsidP="00983DD3">
            <w:pPr>
              <w:jc w:val="center"/>
              <w:rPr>
                <w:rFonts w:ascii="Times New Roman" w:hAnsi="Times New Roman" w:cs="Times New Roman"/>
                <w:color w:val="000000"/>
              </w:rPr>
            </w:pPr>
            <w:proofErr w:type="spellStart"/>
            <w:r w:rsidRPr="001E1826">
              <w:rPr>
                <w:rFonts w:ascii="Times New Roman" w:hAnsi="Times New Roman" w:cs="Times New Roman"/>
                <w:color w:val="000000"/>
              </w:rPr>
              <w:t>Morisita</w:t>
            </w:r>
            <w:proofErr w:type="spellEnd"/>
            <w:r w:rsidRPr="001E1826">
              <w:rPr>
                <w:rFonts w:ascii="Times New Roman" w:hAnsi="Times New Roman" w:cs="Times New Roman"/>
                <w:color w:val="000000"/>
              </w:rPr>
              <w:t>-Horn</w:t>
            </w:r>
          </w:p>
        </w:tc>
        <w:tc>
          <w:tcPr>
            <w:tcW w:w="2335" w:type="dxa"/>
            <w:shd w:val="clear" w:color="auto" w:fill="D9D9D9" w:themeFill="background1" w:themeFillShade="D9"/>
          </w:tcPr>
          <w:p w14:paraId="785CC9D6" w14:textId="6537277C" w:rsidR="00983DD3" w:rsidRPr="001E1826" w:rsidRDefault="00983DD3" w:rsidP="00983DD3">
            <w:pPr>
              <w:jc w:val="center"/>
              <w:rPr>
                <w:rFonts w:ascii="Times New Roman" w:hAnsi="Times New Roman" w:cs="Times New Roman"/>
                <w:color w:val="000000"/>
              </w:rPr>
            </w:pPr>
            <w:r w:rsidRPr="001E1826">
              <w:rPr>
                <w:rFonts w:ascii="Times New Roman" w:hAnsi="Times New Roman" w:cs="Times New Roman"/>
                <w:color w:val="000000"/>
              </w:rPr>
              <w:t>Salamanders</w:t>
            </w:r>
          </w:p>
        </w:tc>
        <w:tc>
          <w:tcPr>
            <w:tcW w:w="2255" w:type="dxa"/>
            <w:shd w:val="clear" w:color="auto" w:fill="D9D9D9" w:themeFill="background1" w:themeFillShade="D9"/>
            <w:noWrap/>
            <w:vAlign w:val="center"/>
            <w:hideMark/>
          </w:tcPr>
          <w:p w14:paraId="646C83FF" w14:textId="3F9954F3"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Habitat x Species</w:t>
            </w:r>
          </w:p>
        </w:tc>
        <w:tc>
          <w:tcPr>
            <w:tcW w:w="2155" w:type="dxa"/>
            <w:shd w:val="clear" w:color="auto" w:fill="D9D9D9" w:themeFill="background1" w:themeFillShade="D9"/>
            <w:noWrap/>
            <w:vAlign w:val="center"/>
            <w:hideMark/>
          </w:tcPr>
          <w:p w14:paraId="3210C93B" w14:textId="77777777" w:rsidR="00983DD3" w:rsidRPr="000D1C08" w:rsidRDefault="00983DD3" w:rsidP="00983DD3">
            <w:pPr>
              <w:jc w:val="center"/>
              <w:rPr>
                <w:rFonts w:ascii="Times New Roman" w:hAnsi="Times New Roman" w:cs="Times New Roman"/>
                <w:color w:val="000000"/>
              </w:rPr>
            </w:pPr>
            <w:r w:rsidRPr="000D1C08">
              <w:rPr>
                <w:rFonts w:ascii="Times New Roman" w:hAnsi="Times New Roman" w:cs="Times New Roman"/>
                <w:color w:val="000000"/>
              </w:rPr>
              <w:t>0.01</w:t>
            </w:r>
          </w:p>
        </w:tc>
      </w:tr>
    </w:tbl>
    <w:p w14:paraId="557DE557" w14:textId="54FE1922" w:rsidR="0003798D" w:rsidRPr="00633D42" w:rsidRDefault="0003798D" w:rsidP="00A26202">
      <w:pPr>
        <w:rPr>
          <w:rFonts w:ascii="Times New Roman" w:hAnsi="Times New Roman" w:cs="Times New Roman"/>
        </w:rPr>
        <w:sectPr w:rsidR="0003798D" w:rsidRPr="00633D42" w:rsidSect="00457804">
          <w:pgSz w:w="12240" w:h="15840" w:code="1"/>
          <w:pgMar w:top="1440" w:right="1440" w:bottom="1440" w:left="1440" w:header="720" w:footer="1440" w:gutter="0"/>
          <w:cols w:space="720"/>
          <w:noEndnote/>
          <w:docGrid w:linePitch="360"/>
        </w:sectPr>
      </w:pPr>
      <w:r w:rsidRPr="00633D42">
        <w:rPr>
          <w:rFonts w:ascii="Times New Roman" w:hAnsi="Times New Roman" w:cs="Times New Roman"/>
        </w:rPr>
        <w:t xml:space="preserve">Table </w:t>
      </w:r>
      <w:r w:rsidR="004A6F19" w:rsidRPr="00633D42">
        <w:rPr>
          <w:rFonts w:ascii="Times New Roman" w:hAnsi="Times New Roman" w:cs="Times New Roman"/>
        </w:rPr>
        <w:t>A2</w:t>
      </w:r>
      <w:r w:rsidRPr="00633D42">
        <w:rPr>
          <w:rFonts w:ascii="Times New Roman" w:hAnsi="Times New Roman" w:cs="Times New Roman"/>
        </w:rPr>
        <w:t xml:space="preserve"> continued</w:t>
      </w:r>
    </w:p>
    <w:p w14:paraId="59D42946" w14:textId="77777777" w:rsidR="0003798D" w:rsidRDefault="0003798D" w:rsidP="0003798D">
      <w:pPr>
        <w:rPr>
          <w:rFonts w:ascii="Times New Roman" w:hAnsi="Times New Roman" w:cs="Times New Roman"/>
        </w:rPr>
      </w:pPr>
    </w:p>
    <w:p w14:paraId="203D3C1A" w14:textId="77777777" w:rsidR="00B71FE8" w:rsidRDefault="0003798D" w:rsidP="00B71FE8">
      <w:pPr>
        <w:keepNext/>
        <w:jc w:val="center"/>
      </w:pPr>
      <w:r w:rsidRPr="001F2C98">
        <w:rPr>
          <w:rFonts w:ascii="Times New Roman" w:hAnsi="Times New Roman" w:cs="Times New Roman"/>
          <w:b/>
          <w:bCs/>
          <w:noProof/>
        </w:rPr>
        <w:drawing>
          <wp:inline distT="0" distB="0" distL="0" distR="0" wp14:anchorId="4D1E535C" wp14:editId="1F70CAB6">
            <wp:extent cx="5486400" cy="4114800"/>
            <wp:effectExtent l="0" t="0" r="0" b="0"/>
            <wp:docPr id="1558778639" name="Picture 3">
              <a:extLst xmlns:a="http://schemas.openxmlformats.org/drawingml/2006/main">
                <a:ext uri="{FF2B5EF4-FFF2-40B4-BE49-F238E27FC236}">
                  <a16:creationId xmlns:a16="http://schemas.microsoft.com/office/drawing/2014/main" id="{27AC9F64-9D93-E699-162F-28BC8DDFBC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7AC9F64-9D93-E699-162F-28BC8DDFBC89}"/>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3B404722" w14:textId="5AEF02B7" w:rsidR="0003798D" w:rsidRPr="00B24BE4" w:rsidRDefault="00B71FE8" w:rsidP="00B71FE8">
      <w:pPr>
        <w:pStyle w:val="Caption"/>
        <w:jc w:val="center"/>
        <w:rPr>
          <w:rFonts w:ascii="Times New Roman" w:hAnsi="Times New Roman" w:cs="Times New Roman"/>
          <w:b w:val="0"/>
          <w:bCs w:val="0"/>
        </w:rPr>
      </w:pPr>
      <w:bookmarkStart w:id="195" w:name="_Toc164849249"/>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1</w:t>
      </w:r>
      <w:r w:rsidRPr="00B24BE4">
        <w:rPr>
          <w:rFonts w:ascii="Times New Roman" w:hAnsi="Times New Roman" w:cs="Times New Roman"/>
          <w:b w:val="0"/>
          <w:bCs w:val="0"/>
        </w:rPr>
        <w:fldChar w:fldCharType="end"/>
      </w:r>
      <w:r w:rsidRPr="00B24BE4">
        <w:rPr>
          <w:rFonts w:ascii="Times New Roman" w:hAnsi="Times New Roman" w:cs="Times New Roman"/>
          <w:b w:val="0"/>
          <w:bCs w:val="0"/>
        </w:rPr>
        <w:t>: Scatterplot of richness and sequence variants for salamander and cover objects.</w:t>
      </w:r>
      <w:bookmarkEnd w:id="195"/>
    </w:p>
    <w:p w14:paraId="0E1FCA33" w14:textId="77777777" w:rsidR="0003798D" w:rsidRDefault="0003798D" w:rsidP="0003798D">
      <w:pPr>
        <w:rPr>
          <w:rFonts w:ascii="Times New Roman" w:hAnsi="Times New Roman" w:cs="Times New Roman"/>
          <w:b/>
          <w:bCs/>
        </w:rPr>
      </w:pPr>
      <w:r>
        <w:rPr>
          <w:rFonts w:ascii="Times New Roman" w:hAnsi="Times New Roman" w:cs="Times New Roman"/>
          <w:b/>
          <w:bCs/>
        </w:rPr>
        <w:br w:type="page"/>
      </w:r>
    </w:p>
    <w:p w14:paraId="749CBE59" w14:textId="77777777" w:rsidR="0003798D" w:rsidRDefault="0003798D" w:rsidP="0003798D">
      <w:pPr>
        <w:jc w:val="center"/>
        <w:rPr>
          <w:rFonts w:ascii="Times New Roman" w:hAnsi="Times New Roman" w:cs="Times New Roman"/>
          <w:b/>
          <w:bCs/>
        </w:rPr>
      </w:pPr>
    </w:p>
    <w:p w14:paraId="36C66EFF" w14:textId="77777777" w:rsidR="00B71FE8" w:rsidRDefault="0003798D" w:rsidP="00B71FE8">
      <w:pPr>
        <w:keepNext/>
      </w:pPr>
      <w:r w:rsidRPr="001F2C98">
        <w:rPr>
          <w:rFonts w:ascii="Times New Roman" w:hAnsi="Times New Roman" w:cs="Times New Roman"/>
          <w:b/>
          <w:bCs/>
          <w:noProof/>
        </w:rPr>
        <w:drawing>
          <wp:inline distT="0" distB="0" distL="0" distR="0" wp14:anchorId="7E68681F" wp14:editId="066F709D">
            <wp:extent cx="5899150" cy="4424045"/>
            <wp:effectExtent l="0" t="0" r="6350" b="0"/>
            <wp:docPr id="218414847" name="Picture 3">
              <a:extLst xmlns:a="http://schemas.openxmlformats.org/drawingml/2006/main">
                <a:ext uri="{FF2B5EF4-FFF2-40B4-BE49-F238E27FC236}">
                  <a16:creationId xmlns:a16="http://schemas.microsoft.com/office/drawing/2014/main" id="{35581E54-22BA-3142-9953-858C323D34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5581E54-22BA-3142-9953-858C323D34A9}"/>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899150" cy="4424045"/>
                    </a:xfrm>
                    <a:prstGeom prst="rect">
                      <a:avLst/>
                    </a:prstGeom>
                  </pic:spPr>
                </pic:pic>
              </a:graphicData>
            </a:graphic>
          </wp:inline>
        </w:drawing>
      </w:r>
    </w:p>
    <w:p w14:paraId="3C3F4289" w14:textId="26D94A09" w:rsidR="0003798D" w:rsidRPr="00B24BE4" w:rsidRDefault="00B71FE8" w:rsidP="00B71FE8">
      <w:pPr>
        <w:pStyle w:val="Caption"/>
        <w:rPr>
          <w:rFonts w:ascii="Times New Roman" w:hAnsi="Times New Roman" w:cs="Times New Roman"/>
          <w:b w:val="0"/>
          <w:bCs w:val="0"/>
        </w:rPr>
      </w:pPr>
      <w:bookmarkStart w:id="196" w:name="_Toc164849250"/>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2</w:t>
      </w:r>
      <w:r w:rsidRPr="00B24BE4">
        <w:rPr>
          <w:rFonts w:ascii="Times New Roman" w:hAnsi="Times New Roman" w:cs="Times New Roman"/>
          <w:b w:val="0"/>
          <w:bCs w:val="0"/>
        </w:rPr>
        <w:fldChar w:fldCharType="end"/>
      </w:r>
      <w:r w:rsidRPr="00B24BE4">
        <w:rPr>
          <w:rFonts w:ascii="Times New Roman" w:hAnsi="Times New Roman" w:cs="Times New Roman"/>
          <w:b w:val="0"/>
          <w:bCs w:val="0"/>
        </w:rPr>
        <w:t xml:space="preserve">: Alpha diversity estimations for 500 rarefactions. Statistical comparisons found no significant differences between species at each order of </w:t>
      </w:r>
      <w:r w:rsidRPr="00B24BE4">
        <w:rPr>
          <w:rFonts w:ascii="Times New Roman" w:hAnsi="Times New Roman" w:cs="Times New Roman"/>
          <w:b w:val="0"/>
          <w:bCs w:val="0"/>
          <w:i/>
          <w:iCs/>
        </w:rPr>
        <w:t>q</w:t>
      </w:r>
      <w:r w:rsidRPr="00B24BE4">
        <w:rPr>
          <w:rFonts w:ascii="Times New Roman" w:hAnsi="Times New Roman" w:cs="Times New Roman"/>
          <w:b w:val="0"/>
          <w:bCs w:val="0"/>
        </w:rPr>
        <w:t xml:space="preserve"> for either habitat or species.</w:t>
      </w:r>
      <w:bookmarkEnd w:id="196"/>
    </w:p>
    <w:p w14:paraId="3C2F5BEB" w14:textId="5ACECAC5" w:rsidR="0003798D" w:rsidRPr="00A26202" w:rsidRDefault="0003798D" w:rsidP="0003798D">
      <w:pPr>
        <w:rPr>
          <w:rFonts w:ascii="Times New Roman" w:hAnsi="Times New Roman" w:cs="Times New Roman"/>
          <w:b/>
          <w:bCs/>
        </w:rPr>
      </w:pPr>
      <w:r w:rsidRPr="00403FC0">
        <w:rPr>
          <w:rFonts w:ascii="Times New Roman" w:hAnsi="Times New Roman" w:cs="Times New Roman"/>
          <w:b/>
          <w:bCs/>
        </w:rPr>
        <w:br w:type="page"/>
      </w:r>
    </w:p>
    <w:p w14:paraId="58D1A281" w14:textId="77777777" w:rsidR="00DB13C8" w:rsidRDefault="0003798D" w:rsidP="00DB13C8">
      <w:pPr>
        <w:keepNext/>
      </w:pPr>
      <w:r w:rsidRPr="001F2C98">
        <w:rPr>
          <w:rFonts w:ascii="Times New Roman" w:hAnsi="Times New Roman" w:cs="Times New Roman"/>
          <w:noProof/>
        </w:rPr>
        <w:lastRenderedPageBreak/>
        <w:drawing>
          <wp:inline distT="0" distB="0" distL="0" distR="0" wp14:anchorId="49BFE955" wp14:editId="6267338D">
            <wp:extent cx="5884545" cy="4546600"/>
            <wp:effectExtent l="0" t="0" r="0" b="0"/>
            <wp:docPr id="660845554" name="Picture 3">
              <a:extLst xmlns:a="http://schemas.openxmlformats.org/drawingml/2006/main">
                <a:ext uri="{FF2B5EF4-FFF2-40B4-BE49-F238E27FC236}">
                  <a16:creationId xmlns:a16="http://schemas.microsoft.com/office/drawing/2014/main" id="{CED1C99B-9583-7E79-CC59-D1B665243F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D1C99B-9583-7E79-CC59-D1B665243FF2}"/>
                        </a:ext>
                      </a:extLst>
                    </pic:cNvPr>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5884545" cy="4546600"/>
                    </a:xfrm>
                    <a:prstGeom prst="rect">
                      <a:avLst/>
                    </a:prstGeom>
                  </pic:spPr>
                </pic:pic>
              </a:graphicData>
            </a:graphic>
          </wp:inline>
        </w:drawing>
      </w:r>
    </w:p>
    <w:p w14:paraId="7D65D7DA" w14:textId="4F502710" w:rsidR="00403FC0" w:rsidRPr="00B24BE4" w:rsidRDefault="00DB13C8" w:rsidP="00DB13C8">
      <w:pPr>
        <w:pStyle w:val="Caption"/>
        <w:rPr>
          <w:rFonts w:ascii="Times New Roman" w:hAnsi="Times New Roman" w:cs="Times New Roman"/>
          <w:b w:val="0"/>
          <w:bCs w:val="0"/>
        </w:rPr>
      </w:pPr>
      <w:bookmarkStart w:id="197" w:name="_Toc164849251"/>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3</w:t>
      </w:r>
      <w:r w:rsidRPr="00B24BE4">
        <w:rPr>
          <w:rFonts w:ascii="Times New Roman" w:hAnsi="Times New Roman" w:cs="Times New Roman"/>
          <w:b w:val="0"/>
          <w:bCs w:val="0"/>
        </w:rPr>
        <w:fldChar w:fldCharType="end"/>
      </w:r>
      <w:r w:rsidRPr="00B24BE4">
        <w:rPr>
          <w:rFonts w:ascii="Times New Roman" w:hAnsi="Times New Roman" w:cs="Times New Roman"/>
          <w:b w:val="0"/>
          <w:bCs w:val="0"/>
        </w:rPr>
        <w:t>: Fluctuation of point biserial correlation coefficients (</w:t>
      </w:r>
      <w:proofErr w:type="spellStart"/>
      <w:r w:rsidRPr="00B24BE4">
        <w:rPr>
          <w:rFonts w:ascii="Times New Roman" w:hAnsi="Times New Roman" w:cs="Times New Roman"/>
          <w:b w:val="0"/>
          <w:bCs w:val="0"/>
        </w:rPr>
        <w:t>r</w:t>
      </w:r>
      <w:r w:rsidRPr="00B24BE4">
        <w:rPr>
          <w:rFonts w:ascii="Times New Roman" w:hAnsi="Times New Roman" w:cs="Times New Roman"/>
          <w:b w:val="0"/>
          <w:bCs w:val="0"/>
          <w:vertAlign w:val="subscript"/>
        </w:rPr>
        <w:t>pb</w:t>
      </w:r>
      <w:proofErr w:type="spellEnd"/>
      <w:r w:rsidRPr="00B24BE4">
        <w:rPr>
          <w:rFonts w:ascii="Times New Roman" w:hAnsi="Times New Roman" w:cs="Times New Roman"/>
          <w:b w:val="0"/>
          <w:bCs w:val="0"/>
        </w:rPr>
        <w:t xml:space="preserve">) for 1000 rarefactions of the 21 sequence variants with an average </w:t>
      </w:r>
      <w:proofErr w:type="spellStart"/>
      <w:r w:rsidRPr="00B24BE4">
        <w:rPr>
          <w:rFonts w:ascii="Times New Roman" w:hAnsi="Times New Roman" w:cs="Times New Roman"/>
          <w:b w:val="0"/>
          <w:bCs w:val="0"/>
        </w:rPr>
        <w:t>r</w:t>
      </w:r>
      <w:r w:rsidRPr="00B24BE4">
        <w:rPr>
          <w:rFonts w:ascii="Times New Roman" w:hAnsi="Times New Roman" w:cs="Times New Roman"/>
          <w:b w:val="0"/>
          <w:bCs w:val="0"/>
          <w:vertAlign w:val="subscript"/>
        </w:rPr>
        <w:t>pb</w:t>
      </w:r>
      <w:proofErr w:type="spellEnd"/>
      <w:r w:rsidRPr="00B24BE4">
        <w:rPr>
          <w:rFonts w:ascii="Times New Roman" w:hAnsi="Times New Roman" w:cs="Times New Roman"/>
          <w:b w:val="0"/>
          <w:bCs w:val="0"/>
        </w:rPr>
        <w:t xml:space="preserve"> &gt;.20. The top black line corresponds to the sequence variant belonging to the genus </w:t>
      </w:r>
      <w:r w:rsidRPr="00B24BE4">
        <w:rPr>
          <w:rFonts w:ascii="Times New Roman" w:hAnsi="Times New Roman" w:cs="Times New Roman"/>
          <w:b w:val="0"/>
          <w:bCs w:val="0"/>
          <w:i/>
          <w:iCs/>
        </w:rPr>
        <w:t>Stenotrophomonas</w:t>
      </w:r>
      <w:r w:rsidRPr="00B24BE4">
        <w:rPr>
          <w:rFonts w:ascii="Times New Roman" w:hAnsi="Times New Roman" w:cs="Times New Roman"/>
          <w:b w:val="0"/>
          <w:bCs w:val="0"/>
        </w:rPr>
        <w:t>.</w:t>
      </w:r>
      <w:bookmarkEnd w:id="197"/>
    </w:p>
    <w:p w14:paraId="7FE60C80" w14:textId="5DC54BB8" w:rsidR="0003798D" w:rsidRPr="00403FC0" w:rsidRDefault="0003798D" w:rsidP="00403FC0">
      <w:pPr>
        <w:pStyle w:val="Caption"/>
        <w:rPr>
          <w:rFonts w:ascii="Times New Roman" w:hAnsi="Times New Roman" w:cs="Times New Roman"/>
        </w:rPr>
      </w:pPr>
    </w:p>
    <w:p w14:paraId="377A8B4D" w14:textId="245D1D53" w:rsidR="0003798D" w:rsidRDefault="0003798D" w:rsidP="0003798D">
      <w:pPr>
        <w:rPr>
          <w:rFonts w:ascii="Times New Roman" w:hAnsi="Times New Roman" w:cs="Times New Roman"/>
        </w:rPr>
      </w:pPr>
    </w:p>
    <w:p w14:paraId="733EEC1A" w14:textId="77777777" w:rsidR="0003798D" w:rsidRDefault="0003798D" w:rsidP="0003798D">
      <w:pPr>
        <w:rPr>
          <w:rFonts w:ascii="Times New Roman" w:hAnsi="Times New Roman" w:cs="Times New Roman"/>
        </w:rPr>
      </w:pPr>
      <w:r>
        <w:rPr>
          <w:rFonts w:ascii="Times New Roman" w:hAnsi="Times New Roman" w:cs="Times New Roman"/>
        </w:rPr>
        <w:br w:type="page"/>
      </w:r>
    </w:p>
    <w:p w14:paraId="0A1F4745" w14:textId="77777777" w:rsidR="00DB13C8" w:rsidRDefault="0003798D" w:rsidP="00DB13C8">
      <w:pPr>
        <w:keepNext/>
      </w:pPr>
      <w:r w:rsidRPr="001F2C98">
        <w:rPr>
          <w:rFonts w:ascii="Times New Roman" w:hAnsi="Times New Roman" w:cs="Times New Roman"/>
          <w:noProof/>
        </w:rPr>
        <w:lastRenderedPageBreak/>
        <w:drawing>
          <wp:inline distT="0" distB="0" distL="0" distR="0" wp14:anchorId="5A030017" wp14:editId="0205074D">
            <wp:extent cx="5943600" cy="3533775"/>
            <wp:effectExtent l="0" t="0" r="0" b="0"/>
            <wp:docPr id="1809896479" name="Picture 3" descr="Chart, timeline&#10;&#10;Description automatically generated">
              <a:extLst xmlns:a="http://schemas.openxmlformats.org/drawingml/2006/main">
                <a:ext uri="{FF2B5EF4-FFF2-40B4-BE49-F238E27FC236}">
                  <a16:creationId xmlns:a16="http://schemas.microsoft.com/office/drawing/2014/main" id="{DD27BDD8-CB6A-485F-0ABF-20C964BE25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timeline&#10;&#10;Description automatically generated">
                      <a:extLst>
                        <a:ext uri="{FF2B5EF4-FFF2-40B4-BE49-F238E27FC236}">
                          <a16:creationId xmlns:a16="http://schemas.microsoft.com/office/drawing/2014/main" id="{DD27BDD8-CB6A-485F-0ABF-20C964BE2568}"/>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3533775"/>
                    </a:xfrm>
                    <a:prstGeom prst="rect">
                      <a:avLst/>
                    </a:prstGeom>
                  </pic:spPr>
                </pic:pic>
              </a:graphicData>
            </a:graphic>
          </wp:inline>
        </w:drawing>
      </w:r>
    </w:p>
    <w:p w14:paraId="4FF48733" w14:textId="708E2061" w:rsidR="0003798D" w:rsidRPr="00B24BE4" w:rsidRDefault="00DB13C8" w:rsidP="00DB13C8">
      <w:pPr>
        <w:pStyle w:val="Caption"/>
        <w:rPr>
          <w:rFonts w:ascii="Times New Roman" w:hAnsi="Times New Roman" w:cs="Times New Roman"/>
          <w:b w:val="0"/>
          <w:bCs w:val="0"/>
        </w:rPr>
      </w:pPr>
      <w:bookmarkStart w:id="198" w:name="_Toc164849252"/>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4</w:t>
      </w:r>
      <w:r w:rsidRPr="00B24BE4">
        <w:rPr>
          <w:rFonts w:ascii="Times New Roman" w:hAnsi="Times New Roman" w:cs="Times New Roman"/>
          <w:b w:val="0"/>
          <w:bCs w:val="0"/>
        </w:rPr>
        <w:fldChar w:fldCharType="end"/>
      </w:r>
      <w:r w:rsidRPr="00B24BE4">
        <w:rPr>
          <w:rFonts w:ascii="Times New Roman" w:hAnsi="Times New Roman" w:cs="Times New Roman"/>
          <w:b w:val="0"/>
          <w:bCs w:val="0"/>
        </w:rPr>
        <w:t xml:space="preserve">: Facet plot of the 15 most abundant phyla in all sample types. Colors correspond to </w:t>
      </w:r>
      <w:r w:rsidR="0061604D" w:rsidRPr="00B24BE4">
        <w:rPr>
          <w:rFonts w:ascii="Times New Roman" w:hAnsi="Times New Roman" w:cs="Times New Roman"/>
          <w:b w:val="0"/>
          <w:bCs w:val="0"/>
        </w:rPr>
        <w:t>p</w:t>
      </w:r>
      <w:r w:rsidRPr="00B24BE4">
        <w:rPr>
          <w:rFonts w:ascii="Times New Roman" w:hAnsi="Times New Roman" w:cs="Times New Roman"/>
          <w:b w:val="0"/>
          <w:bCs w:val="0"/>
        </w:rPr>
        <w:t>hylum.</w:t>
      </w:r>
      <w:bookmarkEnd w:id="198"/>
    </w:p>
    <w:p w14:paraId="72F37CA0" w14:textId="35D5F584" w:rsidR="0003798D" w:rsidRPr="00403FC0" w:rsidRDefault="0003798D" w:rsidP="00403FC0">
      <w:pPr>
        <w:pStyle w:val="Caption"/>
        <w:rPr>
          <w:rFonts w:ascii="Times New Roman" w:hAnsi="Times New Roman" w:cs="Times New Roman"/>
        </w:rPr>
      </w:pPr>
      <w:r w:rsidRPr="00403FC0">
        <w:rPr>
          <w:rFonts w:ascii="Times New Roman" w:hAnsi="Times New Roman" w:cs="Times New Roman"/>
        </w:rPr>
        <w:br w:type="page"/>
      </w:r>
    </w:p>
    <w:p w14:paraId="65F711E2" w14:textId="77777777" w:rsidR="00DB13C8" w:rsidRDefault="0003798D" w:rsidP="00DB13C8">
      <w:pPr>
        <w:keepNext/>
      </w:pPr>
      <w:r w:rsidRPr="001F2C98">
        <w:rPr>
          <w:rFonts w:ascii="Times New Roman" w:hAnsi="Times New Roman" w:cs="Times New Roman"/>
          <w:noProof/>
        </w:rPr>
        <w:lastRenderedPageBreak/>
        <w:drawing>
          <wp:inline distT="0" distB="0" distL="0" distR="0" wp14:anchorId="649A3750" wp14:editId="69E14445">
            <wp:extent cx="5922010" cy="2967990"/>
            <wp:effectExtent l="0" t="0" r="0" b="3810"/>
            <wp:docPr id="591276662" name="Picture 3" descr="Timeline&#10;&#10;Description automatically generated">
              <a:extLst xmlns:a="http://schemas.openxmlformats.org/drawingml/2006/main">
                <a:ext uri="{FF2B5EF4-FFF2-40B4-BE49-F238E27FC236}">
                  <a16:creationId xmlns:a16="http://schemas.microsoft.com/office/drawing/2014/main" id="{8EEB8FC3-D49C-C143-42A0-7B86B5058F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imeline&#10;&#10;Description automatically generated">
                      <a:extLst>
                        <a:ext uri="{FF2B5EF4-FFF2-40B4-BE49-F238E27FC236}">
                          <a16:creationId xmlns:a16="http://schemas.microsoft.com/office/drawing/2014/main" id="{8EEB8FC3-D49C-C143-42A0-7B86B5058FBD}"/>
                        </a:ext>
                      </a:extLst>
                    </pic:cNvPr>
                    <pic:cNvPicPr>
                      <a:picLocks noChangeAspect="1"/>
                    </pic:cNvPicPr>
                  </pic:nvPicPr>
                  <pic:blipFill rotWithShape="1">
                    <a:blip r:embed="rId32" cstate="print">
                      <a:extLst>
                        <a:ext uri="{28A0092B-C50C-407E-A947-70E740481C1C}">
                          <a14:useLocalDpi xmlns:a14="http://schemas.microsoft.com/office/drawing/2010/main" val="0"/>
                        </a:ext>
                      </a:extLst>
                    </a:blip>
                    <a:srcRect t="772"/>
                    <a:stretch/>
                  </pic:blipFill>
                  <pic:spPr bwMode="auto">
                    <a:xfrm>
                      <a:off x="0" y="0"/>
                      <a:ext cx="5922010" cy="2967990"/>
                    </a:xfrm>
                    <a:prstGeom prst="rect">
                      <a:avLst/>
                    </a:prstGeom>
                    <a:ln>
                      <a:noFill/>
                    </a:ln>
                    <a:extLst>
                      <a:ext uri="{53640926-AAD7-44D8-BBD7-CCE9431645EC}">
                        <a14:shadowObscured xmlns:a14="http://schemas.microsoft.com/office/drawing/2010/main"/>
                      </a:ext>
                    </a:extLst>
                  </pic:spPr>
                </pic:pic>
              </a:graphicData>
            </a:graphic>
          </wp:inline>
        </w:drawing>
      </w:r>
    </w:p>
    <w:p w14:paraId="020102CF" w14:textId="5C063B13" w:rsidR="0003798D" w:rsidRPr="00B24BE4" w:rsidRDefault="00DB13C8" w:rsidP="00DB13C8">
      <w:pPr>
        <w:pStyle w:val="Caption"/>
        <w:rPr>
          <w:rFonts w:ascii="Times New Roman" w:hAnsi="Times New Roman" w:cs="Times New Roman"/>
          <w:b w:val="0"/>
          <w:bCs w:val="0"/>
        </w:rPr>
      </w:pPr>
      <w:bookmarkStart w:id="199" w:name="_Toc164849253"/>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5</w:t>
      </w:r>
      <w:r w:rsidRPr="00B24BE4">
        <w:rPr>
          <w:rFonts w:ascii="Times New Roman" w:hAnsi="Times New Roman" w:cs="Times New Roman"/>
          <w:b w:val="0"/>
          <w:bCs w:val="0"/>
        </w:rPr>
        <w:fldChar w:fldCharType="end"/>
      </w:r>
      <w:r w:rsidRPr="00B24BE4">
        <w:rPr>
          <w:rFonts w:ascii="Times New Roman" w:hAnsi="Times New Roman" w:cs="Times New Roman"/>
          <w:b w:val="0"/>
          <w:bCs w:val="0"/>
        </w:rPr>
        <w:t xml:space="preserve">: Twenty most abundant families found in sample types. Colors correspond to </w:t>
      </w:r>
      <w:r w:rsidR="0061604D" w:rsidRPr="00B24BE4">
        <w:rPr>
          <w:rFonts w:ascii="Times New Roman" w:hAnsi="Times New Roman" w:cs="Times New Roman"/>
          <w:b w:val="0"/>
          <w:bCs w:val="0"/>
        </w:rPr>
        <w:t>p</w:t>
      </w:r>
      <w:r w:rsidRPr="00B24BE4">
        <w:rPr>
          <w:rFonts w:ascii="Times New Roman" w:hAnsi="Times New Roman" w:cs="Times New Roman"/>
          <w:b w:val="0"/>
          <w:bCs w:val="0"/>
        </w:rPr>
        <w:t>hylum.</w:t>
      </w:r>
      <w:bookmarkEnd w:id="199"/>
    </w:p>
    <w:p w14:paraId="480D17F8" w14:textId="77777777" w:rsidR="0003798D" w:rsidRDefault="0003798D" w:rsidP="0003798D">
      <w:pPr>
        <w:rPr>
          <w:rFonts w:ascii="Times New Roman" w:hAnsi="Times New Roman" w:cs="Times New Roman"/>
        </w:rPr>
      </w:pPr>
    </w:p>
    <w:p w14:paraId="1FF87591" w14:textId="1A359C3F" w:rsidR="00D82873" w:rsidRDefault="0003798D" w:rsidP="0003798D">
      <w:pPr>
        <w:rPr>
          <w:rFonts w:ascii="Times New Roman" w:hAnsi="Times New Roman" w:cs="Times New Roman"/>
        </w:rPr>
      </w:pPr>
      <w:r>
        <w:rPr>
          <w:rFonts w:ascii="Times New Roman" w:hAnsi="Times New Roman" w:cs="Times New Roman"/>
        </w:rPr>
        <w:br w:type="page"/>
      </w:r>
    </w:p>
    <w:p w14:paraId="20FCDE53" w14:textId="5B18AB50" w:rsidR="00122B3E" w:rsidRPr="00122B3E" w:rsidRDefault="00122B3E" w:rsidP="00122B3E">
      <w:pPr>
        <w:pStyle w:val="Caption"/>
        <w:rPr>
          <w:rFonts w:ascii="Times New Roman" w:hAnsi="Times New Roman" w:cs="Times New Roman"/>
          <w:b w:val="0"/>
          <w:bCs w:val="0"/>
        </w:rPr>
      </w:pPr>
      <w:bookmarkStart w:id="200" w:name="_Toc165029040"/>
      <w:bookmarkStart w:id="201" w:name="_Toc165029358"/>
      <w:r w:rsidRPr="00122B3E">
        <w:rPr>
          <w:rFonts w:ascii="Times New Roman" w:hAnsi="Times New Roman" w:cs="Times New Roman"/>
          <w:b w:val="0"/>
          <w:bCs w:val="0"/>
        </w:rPr>
        <w:lastRenderedPageBreak/>
        <w:t>Table A</w:t>
      </w:r>
      <w:r w:rsidRPr="00122B3E">
        <w:rPr>
          <w:rFonts w:ascii="Times New Roman" w:hAnsi="Times New Roman" w:cs="Times New Roman"/>
          <w:b w:val="0"/>
          <w:bCs w:val="0"/>
        </w:rPr>
        <w:fldChar w:fldCharType="begin"/>
      </w:r>
      <w:r w:rsidRPr="00122B3E">
        <w:rPr>
          <w:rFonts w:ascii="Times New Roman" w:hAnsi="Times New Roman" w:cs="Times New Roman"/>
          <w:b w:val="0"/>
          <w:bCs w:val="0"/>
        </w:rPr>
        <w:instrText xml:space="preserve"> SEQ Table_A \* ARABIC </w:instrText>
      </w:r>
      <w:r w:rsidRPr="00122B3E">
        <w:rPr>
          <w:rFonts w:ascii="Times New Roman" w:hAnsi="Times New Roman" w:cs="Times New Roman"/>
          <w:b w:val="0"/>
          <w:bCs w:val="0"/>
        </w:rPr>
        <w:fldChar w:fldCharType="separate"/>
      </w:r>
      <w:r w:rsidR="001648DD">
        <w:rPr>
          <w:rFonts w:ascii="Times New Roman" w:hAnsi="Times New Roman" w:cs="Times New Roman"/>
          <w:b w:val="0"/>
          <w:bCs w:val="0"/>
          <w:noProof/>
        </w:rPr>
        <w:t>3</w:t>
      </w:r>
      <w:r w:rsidRPr="00122B3E">
        <w:rPr>
          <w:rFonts w:ascii="Times New Roman" w:hAnsi="Times New Roman" w:cs="Times New Roman"/>
          <w:b w:val="0"/>
          <w:bCs w:val="0"/>
        </w:rPr>
        <w:fldChar w:fldCharType="end"/>
      </w:r>
      <w:r w:rsidRPr="00122B3E">
        <w:rPr>
          <w:rFonts w:ascii="Times New Roman" w:hAnsi="Times New Roman" w:cs="Times New Roman"/>
          <w:b w:val="0"/>
          <w:bCs w:val="0"/>
        </w:rPr>
        <w:t>: Point biserial correlation coefficient used for identifying OTUs associated with salamanders.</w:t>
      </w:r>
      <w:bookmarkEnd w:id="200"/>
      <w:bookmarkEnd w:id="201"/>
    </w:p>
    <w:tbl>
      <w:tblPr>
        <w:tblW w:w="9355" w:type="dxa"/>
        <w:tblLook w:val="04A0" w:firstRow="1" w:lastRow="0" w:firstColumn="1" w:lastColumn="0" w:noHBand="0" w:noVBand="1"/>
      </w:tblPr>
      <w:tblGrid>
        <w:gridCol w:w="2588"/>
        <w:gridCol w:w="2447"/>
        <w:gridCol w:w="1530"/>
        <w:gridCol w:w="2790"/>
      </w:tblGrid>
      <w:tr w:rsidR="0003798D" w:rsidRPr="000257F0" w14:paraId="2483E6B3" w14:textId="77777777" w:rsidTr="000D5074">
        <w:trPr>
          <w:trHeight w:val="320"/>
        </w:trPr>
        <w:tc>
          <w:tcPr>
            <w:tcW w:w="2588"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0C780D5B" w14:textId="77777777" w:rsidR="0003798D" w:rsidRPr="000257F0" w:rsidRDefault="0003798D" w:rsidP="000D5074">
            <w:pPr>
              <w:jc w:val="center"/>
              <w:rPr>
                <w:rFonts w:ascii="Times New Roman" w:hAnsi="Times New Roman" w:cs="Times New Roman"/>
                <w:b/>
                <w:bCs/>
                <w:color w:val="000000"/>
              </w:rPr>
            </w:pPr>
            <w:r w:rsidRPr="000257F0">
              <w:rPr>
                <w:rFonts w:ascii="Times New Roman" w:hAnsi="Times New Roman" w:cs="Times New Roman"/>
                <w:b/>
                <w:bCs/>
                <w:color w:val="000000"/>
              </w:rPr>
              <w:t>Family</w:t>
            </w:r>
          </w:p>
        </w:tc>
        <w:tc>
          <w:tcPr>
            <w:tcW w:w="2447" w:type="dxa"/>
            <w:tcBorders>
              <w:top w:val="single" w:sz="4" w:space="0" w:color="auto"/>
              <w:left w:val="nil"/>
              <w:bottom w:val="single" w:sz="4" w:space="0" w:color="auto"/>
              <w:right w:val="single" w:sz="4" w:space="0" w:color="auto"/>
            </w:tcBorders>
            <w:shd w:val="clear" w:color="000000" w:fill="A6A6A6"/>
            <w:noWrap/>
            <w:vAlign w:val="center"/>
            <w:hideMark/>
          </w:tcPr>
          <w:p w14:paraId="74A5118E" w14:textId="77777777" w:rsidR="0003798D" w:rsidRPr="000257F0" w:rsidRDefault="0003798D" w:rsidP="000D5074">
            <w:pPr>
              <w:jc w:val="center"/>
              <w:rPr>
                <w:rFonts w:ascii="Times New Roman" w:hAnsi="Times New Roman" w:cs="Times New Roman"/>
                <w:b/>
                <w:bCs/>
                <w:color w:val="000000"/>
              </w:rPr>
            </w:pPr>
            <w:r w:rsidRPr="000257F0">
              <w:rPr>
                <w:rFonts w:ascii="Times New Roman" w:hAnsi="Times New Roman" w:cs="Times New Roman"/>
                <w:b/>
                <w:bCs/>
                <w:color w:val="000000"/>
              </w:rPr>
              <w:t>Genus</w:t>
            </w:r>
          </w:p>
        </w:tc>
        <w:tc>
          <w:tcPr>
            <w:tcW w:w="1530" w:type="dxa"/>
            <w:tcBorders>
              <w:top w:val="single" w:sz="4" w:space="0" w:color="auto"/>
              <w:left w:val="nil"/>
              <w:bottom w:val="single" w:sz="4" w:space="0" w:color="auto"/>
              <w:right w:val="single" w:sz="4" w:space="0" w:color="auto"/>
            </w:tcBorders>
            <w:shd w:val="clear" w:color="000000" w:fill="A6A6A6"/>
            <w:noWrap/>
            <w:vAlign w:val="center"/>
            <w:hideMark/>
          </w:tcPr>
          <w:p w14:paraId="7B9F68F2" w14:textId="77777777" w:rsidR="0003798D" w:rsidRPr="000257F0" w:rsidRDefault="0003798D" w:rsidP="000D5074">
            <w:pPr>
              <w:jc w:val="center"/>
              <w:rPr>
                <w:rFonts w:ascii="Times New Roman" w:hAnsi="Times New Roman" w:cs="Times New Roman"/>
                <w:b/>
                <w:bCs/>
                <w:color w:val="000000"/>
              </w:rPr>
            </w:pPr>
            <w:r w:rsidRPr="000257F0">
              <w:rPr>
                <w:rFonts w:ascii="Times New Roman" w:hAnsi="Times New Roman" w:cs="Times New Roman"/>
                <w:b/>
                <w:bCs/>
                <w:color w:val="000000"/>
              </w:rPr>
              <w:t>Value</w:t>
            </w:r>
          </w:p>
        </w:tc>
        <w:tc>
          <w:tcPr>
            <w:tcW w:w="2790" w:type="dxa"/>
            <w:tcBorders>
              <w:top w:val="single" w:sz="4" w:space="0" w:color="auto"/>
              <w:left w:val="nil"/>
              <w:bottom w:val="single" w:sz="4" w:space="0" w:color="auto"/>
              <w:right w:val="single" w:sz="4" w:space="0" w:color="auto"/>
            </w:tcBorders>
            <w:shd w:val="clear" w:color="000000" w:fill="A6A6A6"/>
            <w:noWrap/>
            <w:vAlign w:val="center"/>
            <w:hideMark/>
          </w:tcPr>
          <w:p w14:paraId="2D8A0F91" w14:textId="77777777" w:rsidR="0003798D" w:rsidRPr="000257F0" w:rsidRDefault="0003798D" w:rsidP="000D5074">
            <w:pPr>
              <w:jc w:val="center"/>
              <w:rPr>
                <w:rFonts w:ascii="Times New Roman" w:hAnsi="Times New Roman" w:cs="Times New Roman"/>
                <w:b/>
                <w:bCs/>
                <w:color w:val="000000"/>
              </w:rPr>
            </w:pPr>
            <w:r w:rsidRPr="000257F0">
              <w:rPr>
                <w:rFonts w:ascii="Times New Roman" w:hAnsi="Times New Roman" w:cs="Times New Roman"/>
                <w:b/>
                <w:bCs/>
                <w:color w:val="000000"/>
              </w:rPr>
              <w:t>Group</w:t>
            </w:r>
          </w:p>
        </w:tc>
      </w:tr>
      <w:tr w:rsidR="0003798D" w:rsidRPr="000257F0" w14:paraId="5026AB0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73361D44"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7E0DBB67"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Tardiphaga</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6FDB487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0.2459</w:t>
            </w:r>
          </w:p>
        </w:tc>
        <w:tc>
          <w:tcPr>
            <w:tcW w:w="2790" w:type="dxa"/>
            <w:tcBorders>
              <w:top w:val="nil"/>
              <w:left w:val="nil"/>
              <w:bottom w:val="single" w:sz="4" w:space="0" w:color="auto"/>
              <w:right w:val="single" w:sz="4" w:space="0" w:color="auto"/>
            </w:tcBorders>
            <w:shd w:val="clear" w:color="000000" w:fill="FFFFFF"/>
            <w:noWrap/>
            <w:vAlign w:val="center"/>
            <w:hideMark/>
          </w:tcPr>
          <w:p w14:paraId="4A76F1C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67437D29"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67BDA7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08783C61"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Roseiarcus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07B11D8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0.2163</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0C7423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4AAC260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325778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Nocardioidaceae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F67EDAE"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Nocardioides</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0116126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0.2055</w:t>
            </w:r>
          </w:p>
        </w:tc>
        <w:tc>
          <w:tcPr>
            <w:tcW w:w="2790" w:type="dxa"/>
            <w:tcBorders>
              <w:top w:val="nil"/>
              <w:left w:val="nil"/>
              <w:bottom w:val="single" w:sz="4" w:space="0" w:color="auto"/>
              <w:right w:val="single" w:sz="4" w:space="0" w:color="auto"/>
            </w:tcBorders>
            <w:shd w:val="clear" w:color="000000" w:fill="FFFFFF"/>
            <w:noWrap/>
            <w:vAlign w:val="center"/>
            <w:hideMark/>
          </w:tcPr>
          <w:p w14:paraId="46CD3D0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2F57DB3E"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93C3EC6"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Nocardioidaceae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7411669"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Nocardioides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070583E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0.2227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79A0F80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75E5DA9C"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882A3E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6D7A31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3998D46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0.2439</w:t>
            </w:r>
          </w:p>
        </w:tc>
        <w:tc>
          <w:tcPr>
            <w:tcW w:w="2790" w:type="dxa"/>
            <w:tcBorders>
              <w:top w:val="nil"/>
              <w:left w:val="nil"/>
              <w:bottom w:val="single" w:sz="4" w:space="0" w:color="auto"/>
              <w:right w:val="single" w:sz="4" w:space="0" w:color="auto"/>
            </w:tcBorders>
            <w:shd w:val="clear" w:color="000000" w:fill="FFFFFF"/>
            <w:noWrap/>
            <w:vAlign w:val="center"/>
            <w:hideMark/>
          </w:tcPr>
          <w:p w14:paraId="3719DAA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154F9728"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E007761"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2F07C8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EE570E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0.2267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3281F8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4B20E993"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96683B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CD7E76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61D6730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0.2784</w:t>
            </w:r>
          </w:p>
        </w:tc>
        <w:tc>
          <w:tcPr>
            <w:tcW w:w="2790" w:type="dxa"/>
            <w:tcBorders>
              <w:top w:val="nil"/>
              <w:left w:val="nil"/>
              <w:bottom w:val="single" w:sz="4" w:space="0" w:color="auto"/>
              <w:right w:val="single" w:sz="4" w:space="0" w:color="auto"/>
            </w:tcBorders>
            <w:shd w:val="clear" w:color="000000" w:fill="FFFFFF"/>
            <w:noWrap/>
            <w:vAlign w:val="center"/>
            <w:hideMark/>
          </w:tcPr>
          <w:p w14:paraId="7B06B37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33AA2B12"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8AD8F8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Acidobacteriaceae</w:t>
            </w:r>
            <w:proofErr w:type="spellEnd"/>
            <w:r w:rsidRPr="000257F0">
              <w:rPr>
                <w:rFonts w:ascii="Times New Roman" w:hAnsi="Times New Roman" w:cs="Times New Roman"/>
                <w:color w:val="000000"/>
              </w:rPr>
              <w:t xml:space="preserve"> (Subgroup 1)</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5683A29"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Terriglobus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4A8C03F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0.2316</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788223F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58CF9345"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2432CE1"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Acidobacteriaceae</w:t>
            </w:r>
            <w:proofErr w:type="spellEnd"/>
            <w:r w:rsidRPr="000257F0">
              <w:rPr>
                <w:rFonts w:ascii="Times New Roman" w:hAnsi="Times New Roman" w:cs="Times New Roman"/>
                <w:color w:val="000000"/>
              </w:rPr>
              <w:t xml:space="preserve"> (Subgroup 1)</w:t>
            </w:r>
          </w:p>
        </w:tc>
        <w:tc>
          <w:tcPr>
            <w:tcW w:w="2447" w:type="dxa"/>
            <w:tcBorders>
              <w:top w:val="nil"/>
              <w:left w:val="nil"/>
              <w:bottom w:val="single" w:sz="4" w:space="0" w:color="auto"/>
              <w:right w:val="single" w:sz="4" w:space="0" w:color="auto"/>
            </w:tcBorders>
            <w:shd w:val="clear" w:color="000000" w:fill="FFFFFF"/>
            <w:noWrap/>
            <w:vAlign w:val="center"/>
            <w:hideMark/>
          </w:tcPr>
          <w:p w14:paraId="061D7754"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Granulicella</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33777ED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0.2016</w:t>
            </w:r>
          </w:p>
        </w:tc>
        <w:tc>
          <w:tcPr>
            <w:tcW w:w="2790" w:type="dxa"/>
            <w:tcBorders>
              <w:top w:val="nil"/>
              <w:left w:val="nil"/>
              <w:bottom w:val="single" w:sz="4" w:space="0" w:color="auto"/>
              <w:right w:val="single" w:sz="4" w:space="0" w:color="auto"/>
            </w:tcBorders>
            <w:shd w:val="clear" w:color="000000" w:fill="FFFFFF"/>
            <w:noWrap/>
            <w:vAlign w:val="center"/>
            <w:hideMark/>
          </w:tcPr>
          <w:p w14:paraId="0A4A208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16C314A0"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E5193F0"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Weeksellaceae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0AA517D0"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Chryseobacterium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A8F2DD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0.2094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1DDD86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37042EA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4FAFC9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Chitinophagaceae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3BB9FF9B"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Puia</w:t>
            </w:r>
          </w:p>
        </w:tc>
        <w:tc>
          <w:tcPr>
            <w:tcW w:w="1530" w:type="dxa"/>
            <w:tcBorders>
              <w:top w:val="nil"/>
              <w:left w:val="nil"/>
              <w:bottom w:val="single" w:sz="4" w:space="0" w:color="auto"/>
              <w:right w:val="single" w:sz="4" w:space="0" w:color="auto"/>
            </w:tcBorders>
            <w:shd w:val="clear" w:color="000000" w:fill="FFFFFF"/>
            <w:noWrap/>
            <w:vAlign w:val="center"/>
            <w:hideMark/>
          </w:tcPr>
          <w:p w14:paraId="698FBEB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0.2109</w:t>
            </w:r>
          </w:p>
        </w:tc>
        <w:tc>
          <w:tcPr>
            <w:tcW w:w="2790" w:type="dxa"/>
            <w:tcBorders>
              <w:top w:val="nil"/>
              <w:left w:val="nil"/>
              <w:bottom w:val="single" w:sz="4" w:space="0" w:color="auto"/>
              <w:right w:val="single" w:sz="4" w:space="0" w:color="auto"/>
            </w:tcBorders>
            <w:shd w:val="clear" w:color="000000" w:fill="FFFFFF"/>
            <w:noWrap/>
            <w:vAlign w:val="center"/>
            <w:hideMark/>
          </w:tcPr>
          <w:p w14:paraId="4A94516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226E26C2"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67F23D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68E16FD"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Comamonas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414D0B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0.2122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D989A8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59F3D4AA"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76D1ACE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Pseudomonadaceae</w:t>
            </w:r>
          </w:p>
        </w:tc>
        <w:tc>
          <w:tcPr>
            <w:tcW w:w="2447" w:type="dxa"/>
            <w:tcBorders>
              <w:top w:val="nil"/>
              <w:left w:val="nil"/>
              <w:bottom w:val="single" w:sz="4" w:space="0" w:color="auto"/>
              <w:right w:val="single" w:sz="4" w:space="0" w:color="auto"/>
            </w:tcBorders>
            <w:shd w:val="clear" w:color="000000" w:fill="FFFFFF"/>
            <w:noWrap/>
            <w:vAlign w:val="center"/>
            <w:hideMark/>
          </w:tcPr>
          <w:p w14:paraId="64E2FE3F"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Pseudomonas</w:t>
            </w:r>
          </w:p>
        </w:tc>
        <w:tc>
          <w:tcPr>
            <w:tcW w:w="1530" w:type="dxa"/>
            <w:tcBorders>
              <w:top w:val="nil"/>
              <w:left w:val="nil"/>
              <w:bottom w:val="single" w:sz="4" w:space="0" w:color="auto"/>
              <w:right w:val="single" w:sz="4" w:space="0" w:color="auto"/>
            </w:tcBorders>
            <w:shd w:val="clear" w:color="000000" w:fill="FFFFFF"/>
            <w:noWrap/>
            <w:vAlign w:val="center"/>
            <w:hideMark/>
          </w:tcPr>
          <w:p w14:paraId="7340991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0.2037</w:t>
            </w:r>
          </w:p>
        </w:tc>
        <w:tc>
          <w:tcPr>
            <w:tcW w:w="2790" w:type="dxa"/>
            <w:tcBorders>
              <w:top w:val="nil"/>
              <w:left w:val="nil"/>
              <w:bottom w:val="single" w:sz="4" w:space="0" w:color="auto"/>
              <w:right w:val="single" w:sz="4" w:space="0" w:color="auto"/>
            </w:tcBorders>
            <w:shd w:val="clear" w:color="000000" w:fill="FFFFFF"/>
            <w:noWrap/>
            <w:vAlign w:val="center"/>
            <w:hideMark/>
          </w:tcPr>
          <w:p w14:paraId="103EF2C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w:t>
            </w:r>
          </w:p>
        </w:tc>
      </w:tr>
      <w:tr w:rsidR="0003798D" w:rsidRPr="000257F0" w14:paraId="270A63D0"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A3275F1"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CE385E0"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Rhizobacter</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F93CEC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0.2702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4713BA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44E7DC00"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4A3FCDA"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Acetobacteraceae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32280C51"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Acidiphilium</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456D401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0.3149</w:t>
            </w:r>
          </w:p>
        </w:tc>
        <w:tc>
          <w:tcPr>
            <w:tcW w:w="2790" w:type="dxa"/>
            <w:tcBorders>
              <w:top w:val="nil"/>
              <w:left w:val="nil"/>
              <w:bottom w:val="single" w:sz="4" w:space="0" w:color="auto"/>
              <w:right w:val="single" w:sz="4" w:space="0" w:color="auto"/>
            </w:tcBorders>
            <w:shd w:val="clear" w:color="000000" w:fill="FFFFFF"/>
            <w:noWrap/>
            <w:vAlign w:val="center"/>
            <w:hideMark/>
          </w:tcPr>
          <w:p w14:paraId="0B4082D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4BE185D2"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DEFD5C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4E9DF3B"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Methylobacterium-Methylorubrum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B25B86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0.3329</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511FCBF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7007B7E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5D7AC1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DF2EB24"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Methylobacterium-Methylorubrum</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4B33A1A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0.3876</w:t>
            </w:r>
          </w:p>
        </w:tc>
        <w:tc>
          <w:tcPr>
            <w:tcW w:w="2790" w:type="dxa"/>
            <w:tcBorders>
              <w:top w:val="nil"/>
              <w:left w:val="nil"/>
              <w:bottom w:val="single" w:sz="4" w:space="0" w:color="auto"/>
              <w:right w:val="single" w:sz="4" w:space="0" w:color="auto"/>
            </w:tcBorders>
            <w:shd w:val="clear" w:color="000000" w:fill="FFFFFF"/>
            <w:noWrap/>
            <w:vAlign w:val="center"/>
            <w:hideMark/>
          </w:tcPr>
          <w:p w14:paraId="16CDCB9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22BDD6BB"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327935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504BD901"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Methylobacterium-Methylorubrum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08D0CCF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0.4030</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D53CBC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32206922"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7E38F4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1FFDBF9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64AAC66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0.3314</w:t>
            </w:r>
          </w:p>
        </w:tc>
        <w:tc>
          <w:tcPr>
            <w:tcW w:w="2790" w:type="dxa"/>
            <w:tcBorders>
              <w:top w:val="nil"/>
              <w:left w:val="nil"/>
              <w:bottom w:val="single" w:sz="4" w:space="0" w:color="auto"/>
              <w:right w:val="single" w:sz="4" w:space="0" w:color="auto"/>
            </w:tcBorders>
            <w:shd w:val="clear" w:color="000000" w:fill="FFFFFF"/>
            <w:noWrap/>
            <w:vAlign w:val="center"/>
            <w:hideMark/>
          </w:tcPr>
          <w:p w14:paraId="068B895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373CC69A"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06DFC5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Hyphomicrobiaceae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67772C6"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Hyphomicrobium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F7ADA7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0.3049</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71CCEF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091FCD7C"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19BD8D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42DB64BC"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Sphingomonas</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75B460F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0.3235</w:t>
            </w:r>
          </w:p>
        </w:tc>
        <w:tc>
          <w:tcPr>
            <w:tcW w:w="2790" w:type="dxa"/>
            <w:tcBorders>
              <w:top w:val="nil"/>
              <w:left w:val="nil"/>
              <w:bottom w:val="single" w:sz="4" w:space="0" w:color="auto"/>
              <w:right w:val="single" w:sz="4" w:space="0" w:color="auto"/>
            </w:tcBorders>
            <w:shd w:val="clear" w:color="000000" w:fill="FFFFFF"/>
            <w:noWrap/>
            <w:vAlign w:val="center"/>
            <w:hideMark/>
          </w:tcPr>
          <w:p w14:paraId="23F8569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4D051A2F" w14:textId="77777777" w:rsidTr="007A4A68">
        <w:trPr>
          <w:trHeight w:val="320"/>
        </w:trPr>
        <w:tc>
          <w:tcPr>
            <w:tcW w:w="2588" w:type="dxa"/>
            <w:tcBorders>
              <w:top w:val="single" w:sz="4" w:space="0" w:color="auto"/>
              <w:left w:val="single" w:sz="4" w:space="0" w:color="auto"/>
              <w:right w:val="single" w:sz="4" w:space="0" w:color="auto"/>
            </w:tcBorders>
            <w:shd w:val="clear" w:color="auto" w:fill="F2F2F2" w:themeFill="background1" w:themeFillShade="F2"/>
            <w:noWrap/>
            <w:vAlign w:val="center"/>
            <w:hideMark/>
          </w:tcPr>
          <w:p w14:paraId="241AB89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Sphingomonadaceae</w:t>
            </w:r>
            <w:proofErr w:type="spellEnd"/>
          </w:p>
        </w:tc>
        <w:tc>
          <w:tcPr>
            <w:tcW w:w="2447" w:type="dxa"/>
            <w:tcBorders>
              <w:top w:val="single" w:sz="4" w:space="0" w:color="auto"/>
              <w:left w:val="nil"/>
              <w:right w:val="single" w:sz="4" w:space="0" w:color="auto"/>
            </w:tcBorders>
            <w:shd w:val="clear" w:color="auto" w:fill="F2F2F2" w:themeFill="background1" w:themeFillShade="F2"/>
            <w:noWrap/>
            <w:vAlign w:val="center"/>
            <w:hideMark/>
          </w:tcPr>
          <w:p w14:paraId="3028F2B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single" w:sz="4" w:space="0" w:color="auto"/>
              <w:left w:val="nil"/>
              <w:right w:val="single" w:sz="4" w:space="0" w:color="auto"/>
            </w:tcBorders>
            <w:shd w:val="clear" w:color="auto" w:fill="F2F2F2" w:themeFill="background1" w:themeFillShade="F2"/>
            <w:noWrap/>
            <w:vAlign w:val="center"/>
            <w:hideMark/>
          </w:tcPr>
          <w:p w14:paraId="2DF5341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0.3350</w:t>
            </w:r>
          </w:p>
        </w:tc>
        <w:tc>
          <w:tcPr>
            <w:tcW w:w="2790" w:type="dxa"/>
            <w:tcBorders>
              <w:top w:val="single" w:sz="4" w:space="0" w:color="auto"/>
              <w:left w:val="nil"/>
              <w:right w:val="single" w:sz="4" w:space="0" w:color="auto"/>
            </w:tcBorders>
            <w:shd w:val="clear" w:color="auto" w:fill="F2F2F2" w:themeFill="background1" w:themeFillShade="F2"/>
            <w:noWrap/>
            <w:vAlign w:val="center"/>
            <w:hideMark/>
          </w:tcPr>
          <w:p w14:paraId="32DC6B17" w14:textId="77777777" w:rsidR="0003798D" w:rsidRPr="000257F0" w:rsidRDefault="0003798D" w:rsidP="000D5074">
            <w:pPr>
              <w:keepNext/>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bl>
    <w:p w14:paraId="57CA6C31" w14:textId="77777777" w:rsidR="0003798D" w:rsidRDefault="0003798D" w:rsidP="0003798D">
      <w:r>
        <w:br w:type="page"/>
      </w:r>
    </w:p>
    <w:p w14:paraId="0BA57BF4" w14:textId="4E10B38B" w:rsidR="0003798D" w:rsidRPr="00B24BE4" w:rsidRDefault="0003798D" w:rsidP="00A26202">
      <w:pPr>
        <w:rPr>
          <w:rFonts w:ascii="Times New Roman" w:hAnsi="Times New Roman" w:cs="Times New Roman"/>
        </w:rPr>
      </w:pPr>
      <w:r w:rsidRPr="00B24BE4">
        <w:rPr>
          <w:rFonts w:ascii="Times New Roman" w:hAnsi="Times New Roman" w:cs="Times New Roman"/>
        </w:rPr>
        <w:lastRenderedPageBreak/>
        <w:t xml:space="preserve">Table </w:t>
      </w:r>
      <w:r w:rsidR="004A6F19" w:rsidRPr="00B24BE4">
        <w:rPr>
          <w:rFonts w:ascii="Times New Roman" w:hAnsi="Times New Roman" w:cs="Times New Roman"/>
        </w:rPr>
        <w:t>A3</w:t>
      </w:r>
      <w:r w:rsidRPr="00B24BE4">
        <w:rPr>
          <w:rFonts w:ascii="Times New Roman" w:hAnsi="Times New Roman" w:cs="Times New Roman"/>
        </w:rPr>
        <w:t xml:space="preserve"> Continued</w:t>
      </w:r>
    </w:p>
    <w:tbl>
      <w:tblPr>
        <w:tblW w:w="9355" w:type="dxa"/>
        <w:tblLook w:val="04A0" w:firstRow="1" w:lastRow="0" w:firstColumn="1" w:lastColumn="0" w:noHBand="0" w:noVBand="1"/>
      </w:tblPr>
      <w:tblGrid>
        <w:gridCol w:w="2588"/>
        <w:gridCol w:w="2447"/>
        <w:gridCol w:w="1530"/>
        <w:gridCol w:w="2790"/>
      </w:tblGrid>
      <w:tr w:rsidR="0003798D" w:rsidRPr="000257F0" w14:paraId="4FCAD0F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691058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48EB7C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522C568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0.2572</w:t>
            </w:r>
          </w:p>
        </w:tc>
        <w:tc>
          <w:tcPr>
            <w:tcW w:w="2790" w:type="dxa"/>
            <w:tcBorders>
              <w:top w:val="nil"/>
              <w:left w:val="nil"/>
              <w:bottom w:val="single" w:sz="4" w:space="0" w:color="auto"/>
              <w:right w:val="single" w:sz="4" w:space="0" w:color="auto"/>
            </w:tcBorders>
            <w:shd w:val="clear" w:color="000000" w:fill="FFFFFF"/>
            <w:noWrap/>
            <w:vAlign w:val="center"/>
            <w:hideMark/>
          </w:tcPr>
          <w:p w14:paraId="0A007D1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3F3F575A"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2BF5AC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Mycobacteriaceae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209CC2B"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Mycobacterium</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CEA8BF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0.3942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D07CC8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1196B670"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7C06E385"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Corynebacteriaceae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F535EA0"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Corynebacterium</w:t>
            </w:r>
          </w:p>
        </w:tc>
        <w:tc>
          <w:tcPr>
            <w:tcW w:w="1530" w:type="dxa"/>
            <w:tcBorders>
              <w:top w:val="nil"/>
              <w:left w:val="nil"/>
              <w:bottom w:val="single" w:sz="4" w:space="0" w:color="auto"/>
              <w:right w:val="single" w:sz="4" w:space="0" w:color="auto"/>
            </w:tcBorders>
            <w:shd w:val="clear" w:color="000000" w:fill="FFFFFF"/>
            <w:noWrap/>
            <w:vAlign w:val="center"/>
            <w:hideMark/>
          </w:tcPr>
          <w:p w14:paraId="2C61FCF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0.3707</w:t>
            </w:r>
          </w:p>
        </w:tc>
        <w:tc>
          <w:tcPr>
            <w:tcW w:w="2790" w:type="dxa"/>
            <w:tcBorders>
              <w:top w:val="nil"/>
              <w:left w:val="nil"/>
              <w:bottom w:val="single" w:sz="4" w:space="0" w:color="auto"/>
              <w:right w:val="single" w:sz="4" w:space="0" w:color="auto"/>
            </w:tcBorders>
            <w:shd w:val="clear" w:color="000000" w:fill="FFFFFF"/>
            <w:noWrap/>
            <w:vAlign w:val="center"/>
            <w:hideMark/>
          </w:tcPr>
          <w:p w14:paraId="4632453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7F0FEC97"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DE19D89"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365691C"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Stenotrophomonas</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47E36E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0.3767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90E278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630CCCC7"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0F448A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Moraxellaceae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694FD5F"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Acinetobacter</w:t>
            </w:r>
          </w:p>
        </w:tc>
        <w:tc>
          <w:tcPr>
            <w:tcW w:w="1530" w:type="dxa"/>
            <w:tcBorders>
              <w:top w:val="nil"/>
              <w:left w:val="nil"/>
              <w:bottom w:val="single" w:sz="4" w:space="0" w:color="auto"/>
              <w:right w:val="single" w:sz="4" w:space="0" w:color="auto"/>
            </w:tcBorders>
            <w:shd w:val="clear" w:color="000000" w:fill="FFFFFF"/>
            <w:noWrap/>
            <w:vAlign w:val="center"/>
            <w:hideMark/>
          </w:tcPr>
          <w:p w14:paraId="2CC90E4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0.3731</w:t>
            </w:r>
          </w:p>
        </w:tc>
        <w:tc>
          <w:tcPr>
            <w:tcW w:w="2790" w:type="dxa"/>
            <w:tcBorders>
              <w:top w:val="nil"/>
              <w:left w:val="nil"/>
              <w:bottom w:val="single" w:sz="4" w:space="0" w:color="auto"/>
              <w:right w:val="single" w:sz="4" w:space="0" w:color="auto"/>
            </w:tcBorders>
            <w:shd w:val="clear" w:color="000000" w:fill="FFFFFF"/>
            <w:noWrap/>
            <w:vAlign w:val="center"/>
            <w:hideMark/>
          </w:tcPr>
          <w:p w14:paraId="3834F7A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7D69517C"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D18E0B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Pseudomonadaceae</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E71679B"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Pseudomonas</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FA075B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0.3687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9D076C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30A0394A"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4C67EDC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4A1A663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71D0A4F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0.4457</w:t>
            </w:r>
          </w:p>
        </w:tc>
        <w:tc>
          <w:tcPr>
            <w:tcW w:w="2790" w:type="dxa"/>
            <w:tcBorders>
              <w:top w:val="nil"/>
              <w:left w:val="nil"/>
              <w:bottom w:val="single" w:sz="4" w:space="0" w:color="auto"/>
              <w:right w:val="single" w:sz="4" w:space="0" w:color="auto"/>
            </w:tcBorders>
            <w:shd w:val="clear" w:color="000000" w:fill="FFFFFF"/>
            <w:noWrap/>
            <w:vAlign w:val="center"/>
            <w:hideMark/>
          </w:tcPr>
          <w:p w14:paraId="6C55BF7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Salamanders/Aquatic Salamanders</w:t>
            </w:r>
          </w:p>
        </w:tc>
      </w:tr>
      <w:tr w:rsidR="0003798D" w:rsidRPr="000257F0" w14:paraId="58A25A5C"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DC290B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Paracaedibacteraceae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C37A016"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Candidatus</w:t>
            </w:r>
            <w:proofErr w:type="spellEnd"/>
            <w:r w:rsidRPr="000257F0">
              <w:rPr>
                <w:rFonts w:ascii="Times New Roman" w:hAnsi="Times New Roman" w:cs="Times New Roman"/>
                <w:i/>
                <w:iCs/>
                <w:color w:val="000000"/>
              </w:rPr>
              <w:t xml:space="preserve"> </w:t>
            </w:r>
            <w:proofErr w:type="spellStart"/>
            <w:r w:rsidRPr="000257F0">
              <w:rPr>
                <w:rFonts w:ascii="Times New Roman" w:hAnsi="Times New Roman" w:cs="Times New Roman"/>
                <w:i/>
                <w:iCs/>
                <w:color w:val="000000"/>
              </w:rPr>
              <w:t>Finniella</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D056EB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0.2538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5476478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Salamanders/Terrestrial Salamanders</w:t>
            </w:r>
          </w:p>
        </w:tc>
      </w:tr>
      <w:tr w:rsidR="0003798D" w:rsidRPr="000257F0" w14:paraId="1E558CF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771593B"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0279162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7A53E1A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0.3460</w:t>
            </w:r>
          </w:p>
        </w:tc>
        <w:tc>
          <w:tcPr>
            <w:tcW w:w="2790" w:type="dxa"/>
            <w:tcBorders>
              <w:top w:val="nil"/>
              <w:left w:val="nil"/>
              <w:bottom w:val="single" w:sz="4" w:space="0" w:color="auto"/>
              <w:right w:val="single" w:sz="4" w:space="0" w:color="auto"/>
            </w:tcBorders>
            <w:shd w:val="clear" w:color="000000" w:fill="FFFFFF"/>
            <w:noWrap/>
            <w:vAlign w:val="center"/>
            <w:hideMark/>
          </w:tcPr>
          <w:p w14:paraId="7F05D8A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Salamanders/Terrestrial Salamanders</w:t>
            </w:r>
          </w:p>
        </w:tc>
      </w:tr>
      <w:tr w:rsidR="0003798D" w:rsidRPr="000257F0" w14:paraId="47FA273C"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30D6A7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4B9704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9153DF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0.3663</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5EF7155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All Salamanders/Terrestrial Salamanders</w:t>
            </w:r>
          </w:p>
        </w:tc>
      </w:tr>
      <w:tr w:rsidR="0003798D" w:rsidRPr="000257F0" w14:paraId="201B2B02"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2BFFBF7"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Rhodocyclaceae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7A32246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Ferribacterium</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70AB259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0.2590</w:t>
            </w:r>
          </w:p>
        </w:tc>
        <w:tc>
          <w:tcPr>
            <w:tcW w:w="2790" w:type="dxa"/>
            <w:tcBorders>
              <w:top w:val="nil"/>
              <w:left w:val="nil"/>
              <w:bottom w:val="single" w:sz="4" w:space="0" w:color="auto"/>
              <w:right w:val="single" w:sz="4" w:space="0" w:color="auto"/>
            </w:tcBorders>
            <w:shd w:val="clear" w:color="000000" w:fill="FFFFFF"/>
            <w:noWrap/>
            <w:vAlign w:val="center"/>
            <w:hideMark/>
          </w:tcPr>
          <w:p w14:paraId="70CDBEB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14E6A3B"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D4DB72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979362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A204DB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0.2588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452388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8878933"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84E2A35"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49B605C0"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Delftia</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6707701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0.2562</w:t>
            </w:r>
          </w:p>
        </w:tc>
        <w:tc>
          <w:tcPr>
            <w:tcW w:w="2790" w:type="dxa"/>
            <w:tcBorders>
              <w:top w:val="nil"/>
              <w:left w:val="nil"/>
              <w:bottom w:val="single" w:sz="4" w:space="0" w:color="auto"/>
              <w:right w:val="single" w:sz="4" w:space="0" w:color="auto"/>
            </w:tcBorders>
            <w:shd w:val="clear" w:color="000000" w:fill="FFFFFF"/>
            <w:noWrap/>
            <w:vAlign w:val="center"/>
            <w:hideMark/>
          </w:tcPr>
          <w:p w14:paraId="2363036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065D4856"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2A73521"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13AE176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Comamonas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8C4407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0.2537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BE975E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632473F"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43ACB2C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3545F1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66D05EB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0.2664</w:t>
            </w:r>
          </w:p>
        </w:tc>
        <w:tc>
          <w:tcPr>
            <w:tcW w:w="2790" w:type="dxa"/>
            <w:tcBorders>
              <w:top w:val="nil"/>
              <w:left w:val="nil"/>
              <w:bottom w:val="single" w:sz="4" w:space="0" w:color="auto"/>
              <w:right w:val="single" w:sz="4" w:space="0" w:color="auto"/>
            </w:tcBorders>
            <w:shd w:val="clear" w:color="000000" w:fill="FFFFFF"/>
            <w:noWrap/>
            <w:vAlign w:val="center"/>
            <w:hideMark/>
          </w:tcPr>
          <w:p w14:paraId="62CEE4F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918B4EE"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1E41739"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665BCFA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6B3A33B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0.2834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2DF3C4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90D5A01"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3E1E45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0C014A8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2893DE2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0.2584</w:t>
            </w:r>
          </w:p>
        </w:tc>
        <w:tc>
          <w:tcPr>
            <w:tcW w:w="2790" w:type="dxa"/>
            <w:tcBorders>
              <w:top w:val="nil"/>
              <w:left w:val="nil"/>
              <w:bottom w:val="single" w:sz="4" w:space="0" w:color="auto"/>
              <w:right w:val="single" w:sz="4" w:space="0" w:color="auto"/>
            </w:tcBorders>
            <w:shd w:val="clear" w:color="000000" w:fill="FFFFFF"/>
            <w:noWrap/>
            <w:vAlign w:val="center"/>
            <w:hideMark/>
          </w:tcPr>
          <w:p w14:paraId="4BBD525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2E82514"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042B63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Acetobacteraceae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A567F9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36931C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0.2675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5A8419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C1759BC"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EE33C1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Acetobacteraceae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E8537A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47B5518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0.2714</w:t>
            </w:r>
          </w:p>
        </w:tc>
        <w:tc>
          <w:tcPr>
            <w:tcW w:w="2790" w:type="dxa"/>
            <w:tcBorders>
              <w:top w:val="nil"/>
              <w:left w:val="nil"/>
              <w:bottom w:val="single" w:sz="4" w:space="0" w:color="auto"/>
              <w:right w:val="single" w:sz="4" w:space="0" w:color="auto"/>
            </w:tcBorders>
            <w:shd w:val="clear" w:color="000000" w:fill="FFFFFF"/>
            <w:noWrap/>
            <w:vAlign w:val="center"/>
            <w:hideMark/>
          </w:tcPr>
          <w:p w14:paraId="1205303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F407F28"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6DA847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1819D814"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Methylobacterium-Methylorubrum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28325D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0.2722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C50B51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A34B932"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185B242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7B85F6E7"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Methylobacterium-Methylorubrum</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5D5DF1D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0.2513</w:t>
            </w:r>
          </w:p>
        </w:tc>
        <w:tc>
          <w:tcPr>
            <w:tcW w:w="2790" w:type="dxa"/>
            <w:tcBorders>
              <w:top w:val="nil"/>
              <w:left w:val="nil"/>
              <w:bottom w:val="single" w:sz="4" w:space="0" w:color="auto"/>
              <w:right w:val="single" w:sz="4" w:space="0" w:color="auto"/>
            </w:tcBorders>
            <w:shd w:val="clear" w:color="000000" w:fill="FFFFFF"/>
            <w:noWrap/>
            <w:vAlign w:val="center"/>
            <w:hideMark/>
          </w:tcPr>
          <w:p w14:paraId="781434A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E8FE27B"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13B1746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19CC5B7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Methylobacterium-Methylorubrum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4FDD538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0.2945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78DA021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556A199" w14:textId="77777777" w:rsidTr="00947B07">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0F081B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35AC4A8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2DB4E89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0.2648</w:t>
            </w:r>
          </w:p>
        </w:tc>
        <w:tc>
          <w:tcPr>
            <w:tcW w:w="2790" w:type="dxa"/>
            <w:tcBorders>
              <w:top w:val="nil"/>
              <w:left w:val="nil"/>
              <w:bottom w:val="single" w:sz="4" w:space="0" w:color="auto"/>
              <w:right w:val="single" w:sz="4" w:space="0" w:color="auto"/>
            </w:tcBorders>
            <w:shd w:val="clear" w:color="000000" w:fill="FFFFFF"/>
            <w:noWrap/>
            <w:vAlign w:val="center"/>
            <w:hideMark/>
          </w:tcPr>
          <w:p w14:paraId="104C2C9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7B2AFC5" w14:textId="77777777" w:rsidTr="00947B07">
        <w:trPr>
          <w:trHeight w:val="320"/>
        </w:trPr>
        <w:tc>
          <w:tcPr>
            <w:tcW w:w="2588" w:type="dxa"/>
            <w:tcBorders>
              <w:top w:val="single" w:sz="4" w:space="0" w:color="auto"/>
              <w:left w:val="single" w:sz="4" w:space="0" w:color="auto"/>
              <w:right w:val="single" w:sz="4" w:space="0" w:color="auto"/>
            </w:tcBorders>
            <w:shd w:val="clear" w:color="auto" w:fill="F2F2F2" w:themeFill="background1" w:themeFillShade="F2"/>
            <w:noWrap/>
            <w:vAlign w:val="center"/>
            <w:hideMark/>
          </w:tcPr>
          <w:p w14:paraId="77824C2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single" w:sz="4" w:space="0" w:color="auto"/>
              <w:left w:val="nil"/>
              <w:right w:val="single" w:sz="4" w:space="0" w:color="auto"/>
            </w:tcBorders>
            <w:shd w:val="clear" w:color="auto" w:fill="F2F2F2" w:themeFill="background1" w:themeFillShade="F2"/>
            <w:noWrap/>
            <w:vAlign w:val="center"/>
            <w:hideMark/>
          </w:tcPr>
          <w:p w14:paraId="5CAFC79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1174-901-12</w:t>
            </w:r>
          </w:p>
        </w:tc>
        <w:tc>
          <w:tcPr>
            <w:tcW w:w="1530" w:type="dxa"/>
            <w:tcBorders>
              <w:top w:val="single" w:sz="4" w:space="0" w:color="auto"/>
              <w:left w:val="nil"/>
              <w:right w:val="single" w:sz="4" w:space="0" w:color="auto"/>
            </w:tcBorders>
            <w:shd w:val="clear" w:color="auto" w:fill="F2F2F2" w:themeFill="background1" w:themeFillShade="F2"/>
            <w:noWrap/>
            <w:vAlign w:val="center"/>
            <w:hideMark/>
          </w:tcPr>
          <w:p w14:paraId="5E889C7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0.3206</w:t>
            </w:r>
          </w:p>
        </w:tc>
        <w:tc>
          <w:tcPr>
            <w:tcW w:w="2790" w:type="dxa"/>
            <w:tcBorders>
              <w:top w:val="single" w:sz="4" w:space="0" w:color="auto"/>
              <w:left w:val="nil"/>
              <w:right w:val="single" w:sz="4" w:space="0" w:color="auto"/>
            </w:tcBorders>
            <w:shd w:val="clear" w:color="auto" w:fill="F2F2F2" w:themeFill="background1" w:themeFillShade="F2"/>
            <w:noWrap/>
            <w:vAlign w:val="center"/>
            <w:hideMark/>
          </w:tcPr>
          <w:p w14:paraId="39E8167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bl>
    <w:p w14:paraId="3D0DD88E" w14:textId="77777777" w:rsidR="0003798D" w:rsidRDefault="0003798D" w:rsidP="0003798D">
      <w:r>
        <w:br w:type="page"/>
      </w:r>
    </w:p>
    <w:p w14:paraId="57399E12" w14:textId="6DADAA2F" w:rsidR="0003798D" w:rsidRPr="00B24BE4" w:rsidRDefault="0003798D" w:rsidP="00A26202">
      <w:pPr>
        <w:rPr>
          <w:rFonts w:ascii="Times New Roman" w:hAnsi="Times New Roman" w:cs="Times New Roman"/>
        </w:rPr>
      </w:pPr>
      <w:r w:rsidRPr="00B24BE4">
        <w:rPr>
          <w:rFonts w:ascii="Times New Roman" w:hAnsi="Times New Roman" w:cs="Times New Roman"/>
        </w:rPr>
        <w:lastRenderedPageBreak/>
        <w:t xml:space="preserve">Table </w:t>
      </w:r>
      <w:r w:rsidR="004A6F19" w:rsidRPr="00B24BE4">
        <w:rPr>
          <w:rFonts w:ascii="Times New Roman" w:hAnsi="Times New Roman" w:cs="Times New Roman"/>
        </w:rPr>
        <w:t>A3</w:t>
      </w:r>
      <w:r w:rsidRPr="00B24BE4">
        <w:rPr>
          <w:rFonts w:ascii="Times New Roman" w:hAnsi="Times New Roman" w:cs="Times New Roman"/>
        </w:rPr>
        <w:t xml:space="preserve"> Continued</w:t>
      </w:r>
    </w:p>
    <w:tbl>
      <w:tblPr>
        <w:tblW w:w="9355" w:type="dxa"/>
        <w:tblLook w:val="04A0" w:firstRow="1" w:lastRow="0" w:firstColumn="1" w:lastColumn="0" w:noHBand="0" w:noVBand="1"/>
      </w:tblPr>
      <w:tblGrid>
        <w:gridCol w:w="2588"/>
        <w:gridCol w:w="2447"/>
        <w:gridCol w:w="1530"/>
        <w:gridCol w:w="2790"/>
      </w:tblGrid>
      <w:tr w:rsidR="0003798D" w:rsidRPr="000257F0" w14:paraId="68353F1D"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871F440"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6B421A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1174-901-12</w:t>
            </w:r>
          </w:p>
        </w:tc>
        <w:tc>
          <w:tcPr>
            <w:tcW w:w="1530" w:type="dxa"/>
            <w:tcBorders>
              <w:top w:val="nil"/>
              <w:left w:val="nil"/>
              <w:bottom w:val="single" w:sz="4" w:space="0" w:color="auto"/>
              <w:right w:val="single" w:sz="4" w:space="0" w:color="auto"/>
            </w:tcBorders>
            <w:shd w:val="clear" w:color="000000" w:fill="FFFFFF"/>
            <w:noWrap/>
            <w:vAlign w:val="center"/>
            <w:hideMark/>
          </w:tcPr>
          <w:p w14:paraId="677CCF4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0.2654</w:t>
            </w:r>
          </w:p>
        </w:tc>
        <w:tc>
          <w:tcPr>
            <w:tcW w:w="2790" w:type="dxa"/>
            <w:tcBorders>
              <w:top w:val="nil"/>
              <w:left w:val="nil"/>
              <w:bottom w:val="single" w:sz="4" w:space="0" w:color="auto"/>
              <w:right w:val="single" w:sz="4" w:space="0" w:color="auto"/>
            </w:tcBorders>
            <w:shd w:val="clear" w:color="000000" w:fill="FFFFFF"/>
            <w:noWrap/>
            <w:vAlign w:val="center"/>
            <w:hideMark/>
          </w:tcPr>
          <w:p w14:paraId="3A29949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20D3DEC"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DC31D77"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14E479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1174-901-12</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31CE17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0.2618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16017C6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EEB07F8"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10D78C6"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CDF2F4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1174-901-12</w:t>
            </w:r>
          </w:p>
        </w:tc>
        <w:tc>
          <w:tcPr>
            <w:tcW w:w="1530" w:type="dxa"/>
            <w:tcBorders>
              <w:top w:val="nil"/>
              <w:left w:val="nil"/>
              <w:bottom w:val="single" w:sz="4" w:space="0" w:color="auto"/>
              <w:right w:val="single" w:sz="4" w:space="0" w:color="auto"/>
            </w:tcBorders>
            <w:shd w:val="clear" w:color="000000" w:fill="FFFFFF"/>
            <w:noWrap/>
            <w:vAlign w:val="center"/>
            <w:hideMark/>
          </w:tcPr>
          <w:p w14:paraId="792681F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0.2666</w:t>
            </w:r>
          </w:p>
        </w:tc>
        <w:tc>
          <w:tcPr>
            <w:tcW w:w="2790" w:type="dxa"/>
            <w:tcBorders>
              <w:top w:val="nil"/>
              <w:left w:val="nil"/>
              <w:bottom w:val="single" w:sz="4" w:space="0" w:color="auto"/>
              <w:right w:val="single" w:sz="4" w:space="0" w:color="auto"/>
            </w:tcBorders>
            <w:shd w:val="clear" w:color="000000" w:fill="FFFFFF"/>
            <w:noWrap/>
            <w:vAlign w:val="center"/>
            <w:hideMark/>
          </w:tcPr>
          <w:p w14:paraId="555527F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94804FE"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99D9BB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0E6CC26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D69F4D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0.2710</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4E250F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47A7DF94"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AF45D24"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4BA5F1E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383D7A1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0.2588</w:t>
            </w:r>
          </w:p>
        </w:tc>
        <w:tc>
          <w:tcPr>
            <w:tcW w:w="2790" w:type="dxa"/>
            <w:tcBorders>
              <w:top w:val="nil"/>
              <w:left w:val="nil"/>
              <w:bottom w:val="single" w:sz="4" w:space="0" w:color="auto"/>
              <w:right w:val="single" w:sz="4" w:space="0" w:color="auto"/>
            </w:tcBorders>
            <w:shd w:val="clear" w:color="000000" w:fill="FFFFFF"/>
            <w:noWrap/>
            <w:vAlign w:val="center"/>
            <w:hideMark/>
          </w:tcPr>
          <w:p w14:paraId="2980A78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3271EA8"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E38FC1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B2B071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CBB10C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0.2755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F7FC14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D9C9621"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1ECFE6A7"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Rhizobiaceae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8D0636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5D82D60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0.2986</w:t>
            </w:r>
          </w:p>
        </w:tc>
        <w:tc>
          <w:tcPr>
            <w:tcW w:w="2790" w:type="dxa"/>
            <w:tcBorders>
              <w:top w:val="nil"/>
              <w:left w:val="nil"/>
              <w:bottom w:val="single" w:sz="4" w:space="0" w:color="auto"/>
              <w:right w:val="single" w:sz="4" w:space="0" w:color="auto"/>
            </w:tcBorders>
            <w:shd w:val="clear" w:color="000000" w:fill="FFFFFF"/>
            <w:noWrap/>
            <w:vAlign w:val="center"/>
            <w:hideMark/>
          </w:tcPr>
          <w:p w14:paraId="7F5A131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09DDF9FA"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B38523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AB70D3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B825C1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0.2505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313638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ECA7697"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3CBADA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Polyangiaceae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7D2DF7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4FD3268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0.2600</w:t>
            </w:r>
          </w:p>
        </w:tc>
        <w:tc>
          <w:tcPr>
            <w:tcW w:w="2790" w:type="dxa"/>
            <w:tcBorders>
              <w:top w:val="nil"/>
              <w:left w:val="nil"/>
              <w:bottom w:val="single" w:sz="4" w:space="0" w:color="auto"/>
              <w:right w:val="single" w:sz="4" w:space="0" w:color="auto"/>
            </w:tcBorders>
            <w:shd w:val="clear" w:color="000000" w:fill="FFFFFF"/>
            <w:noWrap/>
            <w:vAlign w:val="center"/>
            <w:hideMark/>
          </w:tcPr>
          <w:p w14:paraId="727ADF0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B2ABFA3"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8346C79"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Propionibacteriaceae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E32544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Cutibacterium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2BD7ADA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0.2770</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C2D268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E852DE7"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7206A076"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Nocardioidaceae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0346BD5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4BD975D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0.2565</w:t>
            </w:r>
          </w:p>
        </w:tc>
        <w:tc>
          <w:tcPr>
            <w:tcW w:w="2790" w:type="dxa"/>
            <w:tcBorders>
              <w:top w:val="nil"/>
              <w:left w:val="nil"/>
              <w:bottom w:val="single" w:sz="4" w:space="0" w:color="auto"/>
              <w:right w:val="single" w:sz="4" w:space="0" w:color="auto"/>
            </w:tcBorders>
            <w:shd w:val="clear" w:color="000000" w:fill="FFFFFF"/>
            <w:noWrap/>
            <w:vAlign w:val="center"/>
            <w:hideMark/>
          </w:tcPr>
          <w:p w14:paraId="708B63E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C308CE2"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63EB03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Brevibacteriaceae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6DFBEC46"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Brevibacterium</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4A42AA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0.2569</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5904E77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7B6DD022"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D998CF9"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6C2023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3BDD2A4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0.2618</w:t>
            </w:r>
          </w:p>
        </w:tc>
        <w:tc>
          <w:tcPr>
            <w:tcW w:w="2790" w:type="dxa"/>
            <w:tcBorders>
              <w:top w:val="nil"/>
              <w:left w:val="nil"/>
              <w:bottom w:val="single" w:sz="4" w:space="0" w:color="auto"/>
              <w:right w:val="single" w:sz="4" w:space="0" w:color="auto"/>
            </w:tcBorders>
            <w:shd w:val="clear" w:color="000000" w:fill="FFFFFF"/>
            <w:noWrap/>
            <w:vAlign w:val="center"/>
            <w:hideMark/>
          </w:tcPr>
          <w:p w14:paraId="2EAB447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0780B158"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ED698D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9B17C7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901BD3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0.2848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12C415B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45AC1BF9"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F203D7B"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42E3809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2CC8B95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0.2622</w:t>
            </w:r>
          </w:p>
        </w:tc>
        <w:tc>
          <w:tcPr>
            <w:tcW w:w="2790" w:type="dxa"/>
            <w:tcBorders>
              <w:top w:val="nil"/>
              <w:left w:val="nil"/>
              <w:bottom w:val="single" w:sz="4" w:space="0" w:color="auto"/>
              <w:right w:val="single" w:sz="4" w:space="0" w:color="auto"/>
            </w:tcBorders>
            <w:shd w:val="clear" w:color="000000" w:fill="FFFFFF"/>
            <w:noWrap/>
            <w:vAlign w:val="center"/>
            <w:hideMark/>
          </w:tcPr>
          <w:p w14:paraId="2B7BC11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7AB10F4"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6BA004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Acidothermaceae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58A8FE41"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Acidothermus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662EDD7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0.2731</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EF27CD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001F23ED"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8B62ED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Mycobacteriaceae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3030C667"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Mycobacterium</w:t>
            </w:r>
          </w:p>
        </w:tc>
        <w:tc>
          <w:tcPr>
            <w:tcW w:w="1530" w:type="dxa"/>
            <w:tcBorders>
              <w:top w:val="nil"/>
              <w:left w:val="nil"/>
              <w:bottom w:val="single" w:sz="4" w:space="0" w:color="auto"/>
              <w:right w:val="single" w:sz="4" w:space="0" w:color="auto"/>
            </w:tcBorders>
            <w:shd w:val="clear" w:color="000000" w:fill="FFFFFF"/>
            <w:noWrap/>
            <w:vAlign w:val="center"/>
            <w:hideMark/>
          </w:tcPr>
          <w:p w14:paraId="5A38296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0.2607</w:t>
            </w:r>
          </w:p>
        </w:tc>
        <w:tc>
          <w:tcPr>
            <w:tcW w:w="2790" w:type="dxa"/>
            <w:tcBorders>
              <w:top w:val="nil"/>
              <w:left w:val="nil"/>
              <w:bottom w:val="single" w:sz="4" w:space="0" w:color="auto"/>
              <w:right w:val="single" w:sz="4" w:space="0" w:color="auto"/>
            </w:tcBorders>
            <w:shd w:val="clear" w:color="000000" w:fill="FFFFFF"/>
            <w:noWrap/>
            <w:vAlign w:val="center"/>
            <w:hideMark/>
          </w:tcPr>
          <w:p w14:paraId="3798E89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4315880E"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5B1EA61"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Mycobacteriaceae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55795651"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Mycobacterium</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2AF149C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0.2816</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5A9184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38E51111"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C114B44"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Corynebacteriaceae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E8142CD"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Corynebacterium</w:t>
            </w:r>
          </w:p>
        </w:tc>
        <w:tc>
          <w:tcPr>
            <w:tcW w:w="1530" w:type="dxa"/>
            <w:tcBorders>
              <w:top w:val="nil"/>
              <w:left w:val="nil"/>
              <w:bottom w:val="single" w:sz="4" w:space="0" w:color="auto"/>
              <w:right w:val="single" w:sz="4" w:space="0" w:color="auto"/>
            </w:tcBorders>
            <w:shd w:val="clear" w:color="000000" w:fill="FFFFFF"/>
            <w:noWrap/>
            <w:vAlign w:val="center"/>
            <w:hideMark/>
          </w:tcPr>
          <w:p w14:paraId="2FEC76C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0.2718</w:t>
            </w:r>
          </w:p>
        </w:tc>
        <w:tc>
          <w:tcPr>
            <w:tcW w:w="2790" w:type="dxa"/>
            <w:tcBorders>
              <w:top w:val="nil"/>
              <w:left w:val="nil"/>
              <w:bottom w:val="single" w:sz="4" w:space="0" w:color="auto"/>
              <w:right w:val="single" w:sz="4" w:space="0" w:color="auto"/>
            </w:tcBorders>
            <w:shd w:val="clear" w:color="000000" w:fill="FFFFFF"/>
            <w:noWrap/>
            <w:vAlign w:val="center"/>
            <w:hideMark/>
          </w:tcPr>
          <w:p w14:paraId="1D96AFD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911830A"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6CC8EF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Corynebacteriaceae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095991C"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Corynebacterium</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61F98E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0.2845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53A4FB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F1B5BF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4FDCE2C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7F41B4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1AC7FEE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0.2834</w:t>
            </w:r>
          </w:p>
        </w:tc>
        <w:tc>
          <w:tcPr>
            <w:tcW w:w="2790" w:type="dxa"/>
            <w:tcBorders>
              <w:top w:val="nil"/>
              <w:left w:val="nil"/>
              <w:bottom w:val="single" w:sz="4" w:space="0" w:color="auto"/>
              <w:right w:val="single" w:sz="4" w:space="0" w:color="auto"/>
            </w:tcBorders>
            <w:shd w:val="clear" w:color="000000" w:fill="FFFFFF"/>
            <w:noWrap/>
            <w:vAlign w:val="center"/>
            <w:hideMark/>
          </w:tcPr>
          <w:p w14:paraId="058A20D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A9B6CC2"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7A39D24"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Sphingobacteriaceae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5AD077CC"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Mucilaginibacter</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0A90A16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98CD38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0D4AE008"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17A8275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Bacteroidaceae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8FA1EC8"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Bacteroides</w:t>
            </w:r>
          </w:p>
        </w:tc>
        <w:tc>
          <w:tcPr>
            <w:tcW w:w="1530" w:type="dxa"/>
            <w:tcBorders>
              <w:top w:val="nil"/>
              <w:left w:val="nil"/>
              <w:bottom w:val="single" w:sz="4" w:space="0" w:color="auto"/>
              <w:right w:val="single" w:sz="4" w:space="0" w:color="auto"/>
            </w:tcBorders>
            <w:shd w:val="clear" w:color="000000" w:fill="FFFFFF"/>
            <w:noWrap/>
            <w:vAlign w:val="center"/>
            <w:hideMark/>
          </w:tcPr>
          <w:p w14:paraId="1E7BA0E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0.2550</w:t>
            </w:r>
          </w:p>
        </w:tc>
        <w:tc>
          <w:tcPr>
            <w:tcW w:w="2790" w:type="dxa"/>
            <w:tcBorders>
              <w:top w:val="nil"/>
              <w:left w:val="nil"/>
              <w:bottom w:val="single" w:sz="4" w:space="0" w:color="auto"/>
              <w:right w:val="single" w:sz="4" w:space="0" w:color="auto"/>
            </w:tcBorders>
            <w:shd w:val="clear" w:color="000000" w:fill="FFFFFF"/>
            <w:noWrap/>
            <w:vAlign w:val="center"/>
            <w:hideMark/>
          </w:tcPr>
          <w:p w14:paraId="07D83A8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423BBA0C"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C815E36"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Ruminococcaceae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5A080626"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Angelakisella</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00E0B30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741CBF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DE97909"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85D3D7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Staphylococcaceae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7C0B052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Macrococcus</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4DD1484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0.3051</w:t>
            </w:r>
          </w:p>
        </w:tc>
        <w:tc>
          <w:tcPr>
            <w:tcW w:w="2790" w:type="dxa"/>
            <w:tcBorders>
              <w:top w:val="nil"/>
              <w:left w:val="nil"/>
              <w:bottom w:val="single" w:sz="4" w:space="0" w:color="auto"/>
              <w:right w:val="single" w:sz="4" w:space="0" w:color="auto"/>
            </w:tcBorders>
            <w:shd w:val="clear" w:color="000000" w:fill="FFFFFF"/>
            <w:noWrap/>
            <w:vAlign w:val="center"/>
            <w:hideMark/>
          </w:tcPr>
          <w:p w14:paraId="70CE1AD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1A0B703"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0D5258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C0ED03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F57A69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0.3070</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09E3D4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5A2513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1D99C41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2F05393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766FF08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0.3079</w:t>
            </w:r>
          </w:p>
        </w:tc>
        <w:tc>
          <w:tcPr>
            <w:tcW w:w="2790" w:type="dxa"/>
            <w:tcBorders>
              <w:top w:val="nil"/>
              <w:left w:val="nil"/>
              <w:bottom w:val="single" w:sz="4" w:space="0" w:color="auto"/>
              <w:right w:val="single" w:sz="4" w:space="0" w:color="auto"/>
            </w:tcBorders>
            <w:shd w:val="clear" w:color="000000" w:fill="FFFFFF"/>
            <w:noWrap/>
            <w:vAlign w:val="center"/>
            <w:hideMark/>
          </w:tcPr>
          <w:p w14:paraId="3F6B622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35FDEC8"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F12379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8EAA34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6C876A7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0.2814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20CE2A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A040DDD"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FF28EB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475B2B6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0F9CC53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0.2725</w:t>
            </w:r>
          </w:p>
        </w:tc>
        <w:tc>
          <w:tcPr>
            <w:tcW w:w="2790" w:type="dxa"/>
            <w:tcBorders>
              <w:top w:val="nil"/>
              <w:left w:val="nil"/>
              <w:bottom w:val="single" w:sz="4" w:space="0" w:color="auto"/>
              <w:right w:val="single" w:sz="4" w:space="0" w:color="auto"/>
            </w:tcBorders>
            <w:shd w:val="clear" w:color="000000" w:fill="FFFFFF"/>
            <w:noWrap/>
            <w:vAlign w:val="center"/>
            <w:hideMark/>
          </w:tcPr>
          <w:p w14:paraId="0C45BA2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07D378D0"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894B5FF"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Acidobacteriaceae</w:t>
            </w:r>
            <w:proofErr w:type="spellEnd"/>
            <w:r w:rsidRPr="000257F0">
              <w:rPr>
                <w:rFonts w:ascii="Times New Roman" w:hAnsi="Times New Roman" w:cs="Times New Roman"/>
                <w:color w:val="000000"/>
              </w:rPr>
              <w:t xml:space="preserve"> (Subgroup 1)</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C16C1E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01921E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0.2624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F360E6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4712BC34"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6CE6C8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Acidobacteriaceae</w:t>
            </w:r>
            <w:proofErr w:type="spellEnd"/>
            <w:r w:rsidRPr="000257F0">
              <w:rPr>
                <w:rFonts w:ascii="Times New Roman" w:hAnsi="Times New Roman" w:cs="Times New Roman"/>
                <w:color w:val="000000"/>
              </w:rPr>
              <w:t xml:space="preserve"> (Subgroup 1)</w:t>
            </w:r>
          </w:p>
        </w:tc>
        <w:tc>
          <w:tcPr>
            <w:tcW w:w="2447" w:type="dxa"/>
            <w:tcBorders>
              <w:top w:val="nil"/>
              <w:left w:val="nil"/>
              <w:bottom w:val="single" w:sz="4" w:space="0" w:color="auto"/>
              <w:right w:val="single" w:sz="4" w:space="0" w:color="auto"/>
            </w:tcBorders>
            <w:shd w:val="clear" w:color="000000" w:fill="FFFFFF"/>
            <w:noWrap/>
            <w:vAlign w:val="center"/>
            <w:hideMark/>
          </w:tcPr>
          <w:p w14:paraId="48271E69"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Granulicella</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1FC67D0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0.2809</w:t>
            </w:r>
          </w:p>
        </w:tc>
        <w:tc>
          <w:tcPr>
            <w:tcW w:w="2790" w:type="dxa"/>
            <w:tcBorders>
              <w:top w:val="nil"/>
              <w:left w:val="nil"/>
              <w:bottom w:val="single" w:sz="4" w:space="0" w:color="auto"/>
              <w:right w:val="single" w:sz="4" w:space="0" w:color="auto"/>
            </w:tcBorders>
            <w:shd w:val="clear" w:color="000000" w:fill="FFFFFF"/>
            <w:noWrap/>
            <w:vAlign w:val="center"/>
            <w:hideMark/>
          </w:tcPr>
          <w:p w14:paraId="1CB7826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2A569201" w14:textId="77777777" w:rsidTr="007A4A68">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4CAEA5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Flavobacteriaceae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678DB29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420975F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0.2503</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000660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724F88C0" w14:textId="77777777" w:rsidTr="00947B07">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62BEF14"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Flavobacteriaceae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E7FBB2A"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Flavobacterium</w:t>
            </w:r>
          </w:p>
        </w:tc>
        <w:tc>
          <w:tcPr>
            <w:tcW w:w="1530" w:type="dxa"/>
            <w:tcBorders>
              <w:top w:val="nil"/>
              <w:left w:val="nil"/>
              <w:bottom w:val="single" w:sz="4" w:space="0" w:color="auto"/>
              <w:right w:val="single" w:sz="4" w:space="0" w:color="auto"/>
            </w:tcBorders>
            <w:shd w:val="clear" w:color="000000" w:fill="FFFFFF"/>
            <w:noWrap/>
            <w:vAlign w:val="center"/>
            <w:hideMark/>
          </w:tcPr>
          <w:p w14:paraId="353C1F7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0.2885</w:t>
            </w:r>
          </w:p>
        </w:tc>
        <w:tc>
          <w:tcPr>
            <w:tcW w:w="2790" w:type="dxa"/>
            <w:tcBorders>
              <w:top w:val="nil"/>
              <w:left w:val="nil"/>
              <w:bottom w:val="single" w:sz="4" w:space="0" w:color="auto"/>
              <w:right w:val="single" w:sz="4" w:space="0" w:color="auto"/>
            </w:tcBorders>
            <w:shd w:val="clear" w:color="000000" w:fill="FFFFFF"/>
            <w:noWrap/>
            <w:vAlign w:val="center"/>
            <w:hideMark/>
          </w:tcPr>
          <w:p w14:paraId="5E90C12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4D87B104" w14:textId="77777777" w:rsidTr="00947B07">
        <w:trPr>
          <w:trHeight w:val="320"/>
        </w:trPr>
        <w:tc>
          <w:tcPr>
            <w:tcW w:w="2588" w:type="dxa"/>
            <w:tcBorders>
              <w:top w:val="single" w:sz="4" w:space="0" w:color="auto"/>
              <w:left w:val="single" w:sz="4" w:space="0" w:color="auto"/>
              <w:right w:val="single" w:sz="4" w:space="0" w:color="auto"/>
            </w:tcBorders>
            <w:shd w:val="clear" w:color="auto" w:fill="F2F2F2" w:themeFill="background1" w:themeFillShade="F2"/>
            <w:noWrap/>
            <w:vAlign w:val="center"/>
            <w:hideMark/>
          </w:tcPr>
          <w:p w14:paraId="703E30C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Flavobacteriaceae</w:t>
            </w:r>
            <w:proofErr w:type="spellEnd"/>
          </w:p>
        </w:tc>
        <w:tc>
          <w:tcPr>
            <w:tcW w:w="2447" w:type="dxa"/>
            <w:tcBorders>
              <w:top w:val="single" w:sz="4" w:space="0" w:color="auto"/>
              <w:left w:val="nil"/>
              <w:right w:val="single" w:sz="4" w:space="0" w:color="auto"/>
            </w:tcBorders>
            <w:shd w:val="clear" w:color="auto" w:fill="F2F2F2" w:themeFill="background1" w:themeFillShade="F2"/>
            <w:noWrap/>
            <w:vAlign w:val="center"/>
            <w:hideMark/>
          </w:tcPr>
          <w:p w14:paraId="1CE2F67A"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Flavobacterium</w:t>
            </w:r>
          </w:p>
        </w:tc>
        <w:tc>
          <w:tcPr>
            <w:tcW w:w="1530" w:type="dxa"/>
            <w:tcBorders>
              <w:top w:val="single" w:sz="4" w:space="0" w:color="auto"/>
              <w:left w:val="nil"/>
              <w:right w:val="single" w:sz="4" w:space="0" w:color="auto"/>
            </w:tcBorders>
            <w:shd w:val="clear" w:color="auto" w:fill="F2F2F2" w:themeFill="background1" w:themeFillShade="F2"/>
            <w:noWrap/>
            <w:vAlign w:val="center"/>
            <w:hideMark/>
          </w:tcPr>
          <w:p w14:paraId="4A165D3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0.3464</w:t>
            </w:r>
          </w:p>
        </w:tc>
        <w:tc>
          <w:tcPr>
            <w:tcW w:w="2790" w:type="dxa"/>
            <w:tcBorders>
              <w:top w:val="single" w:sz="4" w:space="0" w:color="auto"/>
              <w:left w:val="nil"/>
              <w:right w:val="single" w:sz="4" w:space="0" w:color="auto"/>
            </w:tcBorders>
            <w:shd w:val="clear" w:color="auto" w:fill="F2F2F2" w:themeFill="background1" w:themeFillShade="F2"/>
            <w:noWrap/>
            <w:vAlign w:val="center"/>
            <w:hideMark/>
          </w:tcPr>
          <w:p w14:paraId="5703F2D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bl>
    <w:p w14:paraId="699EC5E9" w14:textId="77777777" w:rsidR="0003798D" w:rsidRDefault="0003798D" w:rsidP="0003798D">
      <w:r>
        <w:br w:type="page"/>
      </w:r>
    </w:p>
    <w:p w14:paraId="0B1B6539" w14:textId="1995B179" w:rsidR="0003798D" w:rsidRPr="00B24BE4" w:rsidRDefault="0003798D" w:rsidP="00A26202">
      <w:pPr>
        <w:rPr>
          <w:rFonts w:ascii="Times New Roman" w:hAnsi="Times New Roman" w:cs="Times New Roman"/>
        </w:rPr>
      </w:pPr>
      <w:r w:rsidRPr="00B24BE4">
        <w:rPr>
          <w:rFonts w:ascii="Times New Roman" w:hAnsi="Times New Roman" w:cs="Times New Roman"/>
        </w:rPr>
        <w:lastRenderedPageBreak/>
        <w:t xml:space="preserve">Table </w:t>
      </w:r>
      <w:r w:rsidR="004A6F19" w:rsidRPr="00B24BE4">
        <w:rPr>
          <w:rFonts w:ascii="Times New Roman" w:hAnsi="Times New Roman" w:cs="Times New Roman"/>
        </w:rPr>
        <w:t>A3</w:t>
      </w:r>
      <w:r w:rsidRPr="00B24BE4">
        <w:rPr>
          <w:rFonts w:ascii="Times New Roman" w:hAnsi="Times New Roman" w:cs="Times New Roman"/>
        </w:rPr>
        <w:t xml:space="preserve"> Continued</w:t>
      </w:r>
    </w:p>
    <w:tbl>
      <w:tblPr>
        <w:tblW w:w="9355" w:type="dxa"/>
        <w:tblLook w:val="04A0" w:firstRow="1" w:lastRow="0" w:firstColumn="1" w:lastColumn="0" w:noHBand="0" w:noVBand="1"/>
      </w:tblPr>
      <w:tblGrid>
        <w:gridCol w:w="2588"/>
        <w:gridCol w:w="2447"/>
        <w:gridCol w:w="1530"/>
        <w:gridCol w:w="2790"/>
      </w:tblGrid>
      <w:tr w:rsidR="0003798D" w:rsidRPr="000257F0" w14:paraId="329C0B28"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506EC90"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Crocinitomicaceae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5AE144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Fluviicola</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624C919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0.2508</w:t>
            </w:r>
          </w:p>
        </w:tc>
        <w:tc>
          <w:tcPr>
            <w:tcW w:w="2790" w:type="dxa"/>
            <w:tcBorders>
              <w:top w:val="nil"/>
              <w:left w:val="nil"/>
              <w:bottom w:val="single" w:sz="4" w:space="0" w:color="auto"/>
              <w:right w:val="single" w:sz="4" w:space="0" w:color="auto"/>
            </w:tcBorders>
            <w:shd w:val="clear" w:color="000000" w:fill="FFFFFF"/>
            <w:noWrap/>
            <w:vAlign w:val="center"/>
            <w:hideMark/>
          </w:tcPr>
          <w:p w14:paraId="2E7AA86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ABD11FC"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764C1CB"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Chitinophagaceae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5F6B4E6E"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Aurantisolimonas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2ACA8F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4DA6E1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0914709"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7267D6E5"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Chitinophagaceae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14AC140B"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Parafilimonas</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28899F6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0.2503</w:t>
            </w:r>
          </w:p>
        </w:tc>
        <w:tc>
          <w:tcPr>
            <w:tcW w:w="2790" w:type="dxa"/>
            <w:tcBorders>
              <w:top w:val="nil"/>
              <w:left w:val="nil"/>
              <w:bottom w:val="single" w:sz="4" w:space="0" w:color="auto"/>
              <w:right w:val="single" w:sz="4" w:space="0" w:color="auto"/>
            </w:tcBorders>
            <w:shd w:val="clear" w:color="000000" w:fill="FFFFFF"/>
            <w:noWrap/>
            <w:vAlign w:val="center"/>
            <w:hideMark/>
          </w:tcPr>
          <w:p w14:paraId="42B5B94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0306939"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05EFC3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Spirosomaceae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06FF6D1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Flectobacillus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00865A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0.2929</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D311CF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874274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C418C7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29B6AC7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6004099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0.2563</w:t>
            </w:r>
          </w:p>
        </w:tc>
        <w:tc>
          <w:tcPr>
            <w:tcW w:w="2790" w:type="dxa"/>
            <w:tcBorders>
              <w:top w:val="nil"/>
              <w:left w:val="nil"/>
              <w:bottom w:val="single" w:sz="4" w:space="0" w:color="auto"/>
              <w:right w:val="single" w:sz="4" w:space="0" w:color="auto"/>
            </w:tcBorders>
            <w:shd w:val="clear" w:color="000000" w:fill="FFFFFF"/>
            <w:noWrap/>
            <w:vAlign w:val="center"/>
            <w:hideMark/>
          </w:tcPr>
          <w:p w14:paraId="15F1631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7359717F"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B139D2B"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Comamonadaceae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A81544F"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Schlegelella</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E8C44C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0.2524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63827B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623CF751"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49640E4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A21b</w:t>
            </w:r>
          </w:p>
        </w:tc>
        <w:tc>
          <w:tcPr>
            <w:tcW w:w="2447" w:type="dxa"/>
            <w:tcBorders>
              <w:top w:val="nil"/>
              <w:left w:val="nil"/>
              <w:bottom w:val="single" w:sz="4" w:space="0" w:color="auto"/>
              <w:right w:val="single" w:sz="4" w:space="0" w:color="auto"/>
            </w:tcBorders>
            <w:shd w:val="clear" w:color="000000" w:fill="FFFFFF"/>
            <w:noWrap/>
            <w:vAlign w:val="center"/>
            <w:hideMark/>
          </w:tcPr>
          <w:p w14:paraId="1E85488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7A3B875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0.3099</w:t>
            </w:r>
          </w:p>
        </w:tc>
        <w:tc>
          <w:tcPr>
            <w:tcW w:w="2790" w:type="dxa"/>
            <w:tcBorders>
              <w:top w:val="nil"/>
              <w:left w:val="nil"/>
              <w:bottom w:val="single" w:sz="4" w:space="0" w:color="auto"/>
              <w:right w:val="single" w:sz="4" w:space="0" w:color="auto"/>
            </w:tcBorders>
            <w:shd w:val="clear" w:color="000000" w:fill="FFFFFF"/>
            <w:noWrap/>
            <w:vAlign w:val="center"/>
            <w:hideMark/>
          </w:tcPr>
          <w:p w14:paraId="58C3952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71B37C2B"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7E8C095"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Xanthomonadaceae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1730EC06"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Stenotrophomonas</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4ADB582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0.2553</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5BD0BB6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9AEA6EE"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DAF7E9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Pseudomonadaceae</w:t>
            </w:r>
          </w:p>
        </w:tc>
        <w:tc>
          <w:tcPr>
            <w:tcW w:w="2447" w:type="dxa"/>
            <w:tcBorders>
              <w:top w:val="nil"/>
              <w:left w:val="nil"/>
              <w:bottom w:val="single" w:sz="4" w:space="0" w:color="auto"/>
              <w:right w:val="single" w:sz="4" w:space="0" w:color="auto"/>
            </w:tcBorders>
            <w:shd w:val="clear" w:color="000000" w:fill="FFFFFF"/>
            <w:noWrap/>
            <w:vAlign w:val="center"/>
            <w:hideMark/>
          </w:tcPr>
          <w:p w14:paraId="2097981C"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Pseudomonas</w:t>
            </w:r>
          </w:p>
        </w:tc>
        <w:tc>
          <w:tcPr>
            <w:tcW w:w="1530" w:type="dxa"/>
            <w:tcBorders>
              <w:top w:val="nil"/>
              <w:left w:val="nil"/>
              <w:bottom w:val="single" w:sz="4" w:space="0" w:color="auto"/>
              <w:right w:val="single" w:sz="4" w:space="0" w:color="auto"/>
            </w:tcBorders>
            <w:shd w:val="clear" w:color="000000" w:fill="FFFFFF"/>
            <w:noWrap/>
            <w:vAlign w:val="center"/>
            <w:hideMark/>
          </w:tcPr>
          <w:p w14:paraId="72B3215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0.2587</w:t>
            </w:r>
          </w:p>
        </w:tc>
        <w:tc>
          <w:tcPr>
            <w:tcW w:w="2790" w:type="dxa"/>
            <w:tcBorders>
              <w:top w:val="nil"/>
              <w:left w:val="nil"/>
              <w:bottom w:val="single" w:sz="4" w:space="0" w:color="auto"/>
              <w:right w:val="single" w:sz="4" w:space="0" w:color="auto"/>
            </w:tcBorders>
            <w:shd w:val="clear" w:color="000000" w:fill="FFFFFF"/>
            <w:noWrap/>
            <w:vAlign w:val="center"/>
            <w:hideMark/>
          </w:tcPr>
          <w:p w14:paraId="5D1214A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82E322A"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C46B9A6"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Erwiniaceae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04CF03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42A76E4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0.3117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C3F6C6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1C25F3DE"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F47361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29F22EF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4AFFF50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0.2786</w:t>
            </w:r>
          </w:p>
        </w:tc>
        <w:tc>
          <w:tcPr>
            <w:tcW w:w="2790" w:type="dxa"/>
            <w:tcBorders>
              <w:top w:val="nil"/>
              <w:left w:val="nil"/>
              <w:bottom w:val="single" w:sz="4" w:space="0" w:color="auto"/>
              <w:right w:val="single" w:sz="4" w:space="0" w:color="auto"/>
            </w:tcBorders>
            <w:shd w:val="clear" w:color="000000" w:fill="FFFFFF"/>
            <w:noWrap/>
            <w:vAlign w:val="center"/>
            <w:hideMark/>
          </w:tcPr>
          <w:p w14:paraId="5867AB5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Aquatic Salamanders</w:t>
            </w:r>
          </w:p>
        </w:tc>
      </w:tr>
      <w:tr w:rsidR="0003798D" w:rsidRPr="000257F0" w14:paraId="5A3B6EFC"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7094065"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Oxalobacteraceae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8F85E1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2B3EC53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0.2823</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220AA8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26256862"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51DA73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Oxalobacteraceae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4DA5CC5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6C9DF9A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0.2826</w:t>
            </w:r>
          </w:p>
        </w:tc>
        <w:tc>
          <w:tcPr>
            <w:tcW w:w="2790" w:type="dxa"/>
            <w:tcBorders>
              <w:top w:val="nil"/>
              <w:left w:val="nil"/>
              <w:bottom w:val="single" w:sz="4" w:space="0" w:color="auto"/>
              <w:right w:val="single" w:sz="4" w:space="0" w:color="auto"/>
            </w:tcBorders>
            <w:shd w:val="clear" w:color="000000" w:fill="FFFFFF"/>
            <w:noWrap/>
            <w:vAlign w:val="center"/>
            <w:hideMark/>
          </w:tcPr>
          <w:p w14:paraId="037E7A4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7E8000E7"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4223DB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Oxalobacteraceae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0A72FB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8DF225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0.2817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335B57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7D537018"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FAF9A3A"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Nitrosomonadaceae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EBC63BB"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Ellin6067</w:t>
            </w:r>
          </w:p>
        </w:tc>
        <w:tc>
          <w:tcPr>
            <w:tcW w:w="1530" w:type="dxa"/>
            <w:tcBorders>
              <w:top w:val="nil"/>
              <w:left w:val="nil"/>
              <w:bottom w:val="single" w:sz="4" w:space="0" w:color="auto"/>
              <w:right w:val="single" w:sz="4" w:space="0" w:color="auto"/>
            </w:tcBorders>
            <w:shd w:val="clear" w:color="000000" w:fill="FFFFFF"/>
            <w:noWrap/>
            <w:vAlign w:val="center"/>
            <w:hideMark/>
          </w:tcPr>
          <w:p w14:paraId="7C4AF3C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0.2810</w:t>
            </w:r>
          </w:p>
        </w:tc>
        <w:tc>
          <w:tcPr>
            <w:tcW w:w="2790" w:type="dxa"/>
            <w:tcBorders>
              <w:top w:val="nil"/>
              <w:left w:val="nil"/>
              <w:bottom w:val="single" w:sz="4" w:space="0" w:color="auto"/>
              <w:right w:val="single" w:sz="4" w:space="0" w:color="auto"/>
            </w:tcBorders>
            <w:shd w:val="clear" w:color="000000" w:fill="FFFFFF"/>
            <w:noWrap/>
            <w:vAlign w:val="center"/>
            <w:hideMark/>
          </w:tcPr>
          <w:p w14:paraId="6276A98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7E7391CB"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5003BD0"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5034E09"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Rhodoplanes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AD5A74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0.2865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118034B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29BD98E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32AD0AD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33868C57"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Pseudolabrys</w:t>
            </w:r>
          </w:p>
        </w:tc>
        <w:tc>
          <w:tcPr>
            <w:tcW w:w="1530" w:type="dxa"/>
            <w:tcBorders>
              <w:top w:val="nil"/>
              <w:left w:val="nil"/>
              <w:bottom w:val="single" w:sz="4" w:space="0" w:color="auto"/>
              <w:right w:val="single" w:sz="4" w:space="0" w:color="auto"/>
            </w:tcBorders>
            <w:shd w:val="clear" w:color="000000" w:fill="FFFFFF"/>
            <w:noWrap/>
            <w:vAlign w:val="center"/>
            <w:hideMark/>
          </w:tcPr>
          <w:p w14:paraId="4BC2A71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0.2636</w:t>
            </w:r>
          </w:p>
        </w:tc>
        <w:tc>
          <w:tcPr>
            <w:tcW w:w="2790" w:type="dxa"/>
            <w:tcBorders>
              <w:top w:val="nil"/>
              <w:left w:val="nil"/>
              <w:bottom w:val="single" w:sz="4" w:space="0" w:color="auto"/>
              <w:right w:val="single" w:sz="4" w:space="0" w:color="auto"/>
            </w:tcBorders>
            <w:shd w:val="clear" w:color="000000" w:fill="FFFFFF"/>
            <w:noWrap/>
            <w:vAlign w:val="center"/>
            <w:hideMark/>
          </w:tcPr>
          <w:p w14:paraId="0591141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5A1787BF"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9A036E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2680DD8"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Rhodopseudomonas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2CE7F8F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0.2617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5A46682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532D400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3BF9ED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Xanthobacteraceae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793CE8D4"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Tardiphaga</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30BD079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0.2660</w:t>
            </w:r>
          </w:p>
        </w:tc>
        <w:tc>
          <w:tcPr>
            <w:tcW w:w="2790" w:type="dxa"/>
            <w:tcBorders>
              <w:top w:val="nil"/>
              <w:left w:val="nil"/>
              <w:bottom w:val="single" w:sz="4" w:space="0" w:color="auto"/>
              <w:right w:val="single" w:sz="4" w:space="0" w:color="auto"/>
            </w:tcBorders>
            <w:shd w:val="clear" w:color="000000" w:fill="FFFFFF"/>
            <w:noWrap/>
            <w:vAlign w:val="center"/>
            <w:hideMark/>
          </w:tcPr>
          <w:p w14:paraId="5ED958B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46EEE1C4"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9FEBE7D"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Beijerinckiaceae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0CDE88B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030B7D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0.2632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780A872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174786F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55801E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2C4D013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2135353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0.2515</w:t>
            </w:r>
          </w:p>
        </w:tc>
        <w:tc>
          <w:tcPr>
            <w:tcW w:w="2790" w:type="dxa"/>
            <w:tcBorders>
              <w:top w:val="nil"/>
              <w:left w:val="nil"/>
              <w:bottom w:val="single" w:sz="4" w:space="0" w:color="auto"/>
              <w:right w:val="single" w:sz="4" w:space="0" w:color="auto"/>
            </w:tcBorders>
            <w:shd w:val="clear" w:color="000000" w:fill="FFFFFF"/>
            <w:noWrap/>
            <w:vAlign w:val="center"/>
            <w:hideMark/>
          </w:tcPr>
          <w:p w14:paraId="114821D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43893329"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E121C6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Devosiaceae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07D897BA"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Devosia</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B417B2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0.2923</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A1E9D6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0AB45A1F"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17C955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Solirubrobacteraceae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3793412"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Conexibacter</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7BCF62B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0.2543</w:t>
            </w:r>
          </w:p>
        </w:tc>
        <w:tc>
          <w:tcPr>
            <w:tcW w:w="2790" w:type="dxa"/>
            <w:tcBorders>
              <w:top w:val="nil"/>
              <w:left w:val="nil"/>
              <w:bottom w:val="single" w:sz="4" w:space="0" w:color="auto"/>
              <w:right w:val="single" w:sz="4" w:space="0" w:color="auto"/>
            </w:tcBorders>
            <w:shd w:val="clear" w:color="000000" w:fill="FFFFFF"/>
            <w:noWrap/>
            <w:vAlign w:val="center"/>
            <w:hideMark/>
          </w:tcPr>
          <w:p w14:paraId="5E0BEDF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5321BD85"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3F21EBE"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Solirubrobacteraceae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A9243C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83FF51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0.2667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8A9BF6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10CB0DE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07079F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BIrii41</w:t>
            </w:r>
          </w:p>
        </w:tc>
        <w:tc>
          <w:tcPr>
            <w:tcW w:w="2447" w:type="dxa"/>
            <w:tcBorders>
              <w:top w:val="nil"/>
              <w:left w:val="nil"/>
              <w:bottom w:val="single" w:sz="4" w:space="0" w:color="auto"/>
              <w:right w:val="single" w:sz="4" w:space="0" w:color="auto"/>
            </w:tcBorders>
            <w:shd w:val="clear" w:color="000000" w:fill="FFFFFF"/>
            <w:noWrap/>
            <w:vAlign w:val="center"/>
            <w:hideMark/>
          </w:tcPr>
          <w:p w14:paraId="06050DF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0AF4BC6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0.2536</w:t>
            </w:r>
          </w:p>
        </w:tc>
        <w:tc>
          <w:tcPr>
            <w:tcW w:w="2790" w:type="dxa"/>
            <w:tcBorders>
              <w:top w:val="nil"/>
              <w:left w:val="nil"/>
              <w:bottom w:val="single" w:sz="4" w:space="0" w:color="auto"/>
              <w:right w:val="single" w:sz="4" w:space="0" w:color="auto"/>
            </w:tcBorders>
            <w:shd w:val="clear" w:color="000000" w:fill="FFFFFF"/>
            <w:noWrap/>
            <w:vAlign w:val="center"/>
            <w:hideMark/>
          </w:tcPr>
          <w:p w14:paraId="69EBA94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23D954E"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8E0EDF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BIrii41</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817276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B4E829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0.2618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DF59AB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56DBA7D0"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F95B2F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5CFFA19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55E630D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0.3137</w:t>
            </w:r>
          </w:p>
        </w:tc>
        <w:tc>
          <w:tcPr>
            <w:tcW w:w="2790" w:type="dxa"/>
            <w:tcBorders>
              <w:top w:val="nil"/>
              <w:left w:val="nil"/>
              <w:bottom w:val="single" w:sz="4" w:space="0" w:color="auto"/>
              <w:right w:val="single" w:sz="4" w:space="0" w:color="auto"/>
            </w:tcBorders>
            <w:shd w:val="clear" w:color="000000" w:fill="FFFFFF"/>
            <w:noWrap/>
            <w:vAlign w:val="center"/>
            <w:hideMark/>
          </w:tcPr>
          <w:p w14:paraId="7AEC509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1736A54"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3C1A80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Nocardioidaceae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7573F92"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Nocardioides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692EC4F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0.2822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2480EF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006E9E0"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3C30CBB"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Cellulomonadaceae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0CCC3136"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Cellulomonas</w:t>
            </w:r>
          </w:p>
        </w:tc>
        <w:tc>
          <w:tcPr>
            <w:tcW w:w="1530" w:type="dxa"/>
            <w:tcBorders>
              <w:top w:val="nil"/>
              <w:left w:val="nil"/>
              <w:bottom w:val="single" w:sz="4" w:space="0" w:color="auto"/>
              <w:right w:val="single" w:sz="4" w:space="0" w:color="auto"/>
            </w:tcBorders>
            <w:shd w:val="clear" w:color="000000" w:fill="FFFFFF"/>
            <w:noWrap/>
            <w:vAlign w:val="center"/>
            <w:hideMark/>
          </w:tcPr>
          <w:p w14:paraId="10889ED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0.2725</w:t>
            </w:r>
          </w:p>
        </w:tc>
        <w:tc>
          <w:tcPr>
            <w:tcW w:w="2790" w:type="dxa"/>
            <w:tcBorders>
              <w:top w:val="nil"/>
              <w:left w:val="nil"/>
              <w:bottom w:val="single" w:sz="4" w:space="0" w:color="auto"/>
              <w:right w:val="single" w:sz="4" w:space="0" w:color="auto"/>
            </w:tcBorders>
            <w:shd w:val="clear" w:color="000000" w:fill="FFFFFF"/>
            <w:noWrap/>
            <w:vAlign w:val="center"/>
            <w:hideMark/>
          </w:tcPr>
          <w:p w14:paraId="644256C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2396DA75"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447265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Acidothermaceae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895D981"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Acidothermus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67C5E8C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0.2508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E80F07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35787C7"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D47755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Acidothermaceae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696CBB2E"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Acidothermus</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0B55BF3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0.2576</w:t>
            </w:r>
          </w:p>
        </w:tc>
        <w:tc>
          <w:tcPr>
            <w:tcW w:w="2790" w:type="dxa"/>
            <w:tcBorders>
              <w:top w:val="nil"/>
              <w:left w:val="nil"/>
              <w:bottom w:val="single" w:sz="4" w:space="0" w:color="auto"/>
              <w:right w:val="single" w:sz="4" w:space="0" w:color="auto"/>
            </w:tcBorders>
            <w:shd w:val="clear" w:color="000000" w:fill="FFFFFF"/>
            <w:noWrap/>
            <w:vAlign w:val="center"/>
            <w:hideMark/>
          </w:tcPr>
          <w:p w14:paraId="73962D5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4D1A2E31"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000B748"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Frankiaceae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68424C4"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Jatrophihabitans</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683445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0.2882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64E1FFA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1E9AC561"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06AFD4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Pseudonocardiaceae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3840AE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1BA20B0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0.2574</w:t>
            </w:r>
          </w:p>
        </w:tc>
        <w:tc>
          <w:tcPr>
            <w:tcW w:w="2790" w:type="dxa"/>
            <w:tcBorders>
              <w:top w:val="nil"/>
              <w:left w:val="nil"/>
              <w:bottom w:val="single" w:sz="4" w:space="0" w:color="auto"/>
              <w:right w:val="single" w:sz="4" w:space="0" w:color="auto"/>
            </w:tcBorders>
            <w:shd w:val="clear" w:color="000000" w:fill="FFFFFF"/>
            <w:noWrap/>
            <w:vAlign w:val="center"/>
            <w:hideMark/>
          </w:tcPr>
          <w:p w14:paraId="328E77E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56FB4CCA"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292DE0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Pseudonocardiaceae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75BEB0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2C5423C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0.3111</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2ED5C5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146A0F0" w14:textId="77777777" w:rsidTr="00947B07">
        <w:trPr>
          <w:trHeight w:val="320"/>
        </w:trPr>
        <w:tc>
          <w:tcPr>
            <w:tcW w:w="2588" w:type="dxa"/>
            <w:tcBorders>
              <w:top w:val="single" w:sz="4" w:space="0" w:color="auto"/>
              <w:left w:val="single" w:sz="4" w:space="0" w:color="auto"/>
              <w:right w:val="single" w:sz="4" w:space="0" w:color="auto"/>
            </w:tcBorders>
            <w:shd w:val="clear" w:color="000000" w:fill="FFFFFF"/>
            <w:noWrap/>
            <w:vAlign w:val="center"/>
            <w:hideMark/>
          </w:tcPr>
          <w:p w14:paraId="01BDD886"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Pseudonocardiaceae</w:t>
            </w:r>
            <w:proofErr w:type="spellEnd"/>
          </w:p>
        </w:tc>
        <w:tc>
          <w:tcPr>
            <w:tcW w:w="2447" w:type="dxa"/>
            <w:tcBorders>
              <w:top w:val="single" w:sz="4" w:space="0" w:color="auto"/>
              <w:left w:val="nil"/>
              <w:right w:val="single" w:sz="4" w:space="0" w:color="auto"/>
            </w:tcBorders>
            <w:shd w:val="clear" w:color="000000" w:fill="FFFFFF"/>
            <w:noWrap/>
            <w:vAlign w:val="center"/>
            <w:hideMark/>
          </w:tcPr>
          <w:p w14:paraId="6B2838CF"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Pseudonocardia</w:t>
            </w:r>
            <w:proofErr w:type="spellEnd"/>
          </w:p>
        </w:tc>
        <w:tc>
          <w:tcPr>
            <w:tcW w:w="1530" w:type="dxa"/>
            <w:tcBorders>
              <w:top w:val="single" w:sz="4" w:space="0" w:color="auto"/>
              <w:left w:val="nil"/>
              <w:right w:val="single" w:sz="4" w:space="0" w:color="auto"/>
            </w:tcBorders>
            <w:shd w:val="clear" w:color="000000" w:fill="FFFFFF"/>
            <w:noWrap/>
            <w:vAlign w:val="center"/>
            <w:hideMark/>
          </w:tcPr>
          <w:p w14:paraId="01185CE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0.2542</w:t>
            </w:r>
          </w:p>
        </w:tc>
        <w:tc>
          <w:tcPr>
            <w:tcW w:w="2790" w:type="dxa"/>
            <w:tcBorders>
              <w:top w:val="single" w:sz="4" w:space="0" w:color="auto"/>
              <w:left w:val="nil"/>
              <w:right w:val="single" w:sz="4" w:space="0" w:color="auto"/>
            </w:tcBorders>
            <w:shd w:val="clear" w:color="000000" w:fill="FFFFFF"/>
            <w:noWrap/>
            <w:vAlign w:val="center"/>
            <w:hideMark/>
          </w:tcPr>
          <w:p w14:paraId="1EB001E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bl>
    <w:p w14:paraId="6D98F33C" w14:textId="77777777" w:rsidR="0003798D" w:rsidRDefault="0003798D" w:rsidP="0003798D">
      <w:r>
        <w:br w:type="page"/>
      </w:r>
    </w:p>
    <w:p w14:paraId="1FB83771" w14:textId="5F0D844A" w:rsidR="0003798D" w:rsidRPr="00B24BE4" w:rsidRDefault="0003798D" w:rsidP="00A26202">
      <w:pPr>
        <w:rPr>
          <w:rFonts w:ascii="Times New Roman" w:hAnsi="Times New Roman" w:cs="Times New Roman"/>
        </w:rPr>
      </w:pPr>
      <w:r w:rsidRPr="00B24BE4">
        <w:rPr>
          <w:rFonts w:ascii="Times New Roman" w:hAnsi="Times New Roman" w:cs="Times New Roman"/>
        </w:rPr>
        <w:lastRenderedPageBreak/>
        <w:t xml:space="preserve">Table </w:t>
      </w:r>
      <w:r w:rsidR="004A6F19" w:rsidRPr="00B24BE4">
        <w:rPr>
          <w:rFonts w:ascii="Times New Roman" w:hAnsi="Times New Roman" w:cs="Times New Roman"/>
        </w:rPr>
        <w:t>A3</w:t>
      </w:r>
      <w:r w:rsidRPr="00B24BE4">
        <w:rPr>
          <w:rFonts w:ascii="Times New Roman" w:hAnsi="Times New Roman" w:cs="Times New Roman"/>
        </w:rPr>
        <w:t xml:space="preserve"> Continued</w:t>
      </w:r>
    </w:p>
    <w:tbl>
      <w:tblPr>
        <w:tblW w:w="9355" w:type="dxa"/>
        <w:tblLook w:val="04A0" w:firstRow="1" w:lastRow="0" w:firstColumn="1" w:lastColumn="0" w:noHBand="0" w:noVBand="1"/>
      </w:tblPr>
      <w:tblGrid>
        <w:gridCol w:w="2588"/>
        <w:gridCol w:w="2447"/>
        <w:gridCol w:w="1530"/>
        <w:gridCol w:w="2790"/>
      </w:tblGrid>
      <w:tr w:rsidR="0003798D" w:rsidRPr="000257F0" w14:paraId="435287F0"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9339A14"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Streptosporangiaceae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BAADBAA"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Herbidospora</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4B9DFE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0.2784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19CF5DE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0968A9BB"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035E94A"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Chthonomonadaceae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3F439353"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Chthonomonas</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1E77B00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0.2747</w:t>
            </w:r>
          </w:p>
        </w:tc>
        <w:tc>
          <w:tcPr>
            <w:tcW w:w="2790" w:type="dxa"/>
            <w:tcBorders>
              <w:top w:val="nil"/>
              <w:left w:val="nil"/>
              <w:bottom w:val="single" w:sz="4" w:space="0" w:color="auto"/>
              <w:right w:val="single" w:sz="4" w:space="0" w:color="auto"/>
            </w:tcBorders>
            <w:shd w:val="clear" w:color="000000" w:fill="FFFFFF"/>
            <w:noWrap/>
            <w:vAlign w:val="center"/>
            <w:hideMark/>
          </w:tcPr>
          <w:p w14:paraId="70A873A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26944C3E"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F440DE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0D7104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597F25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0.2815</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139EF0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7C10E47A"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23DB8C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Chthoniobacteraceae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34E73A05"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Chthoniobacter</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25A9B41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0.2833</w:t>
            </w:r>
          </w:p>
        </w:tc>
        <w:tc>
          <w:tcPr>
            <w:tcW w:w="2790" w:type="dxa"/>
            <w:tcBorders>
              <w:top w:val="nil"/>
              <w:left w:val="nil"/>
              <w:bottom w:val="single" w:sz="4" w:space="0" w:color="auto"/>
              <w:right w:val="single" w:sz="4" w:space="0" w:color="auto"/>
            </w:tcBorders>
            <w:shd w:val="clear" w:color="000000" w:fill="FFFFFF"/>
            <w:noWrap/>
            <w:vAlign w:val="center"/>
            <w:hideMark/>
          </w:tcPr>
          <w:p w14:paraId="7A6E7F2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4BD453EC"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F1A14BB"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Xiphinematobacteraceae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169A1FE1"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Candidatus</w:t>
            </w:r>
            <w:proofErr w:type="spellEnd"/>
            <w:r w:rsidRPr="000257F0">
              <w:rPr>
                <w:rFonts w:ascii="Times New Roman" w:hAnsi="Times New Roman" w:cs="Times New Roman"/>
                <w:color w:val="000000"/>
              </w:rPr>
              <w:t xml:space="preserve"> </w:t>
            </w:r>
            <w:proofErr w:type="spellStart"/>
            <w:r w:rsidRPr="000257F0">
              <w:rPr>
                <w:rFonts w:ascii="Times New Roman" w:hAnsi="Times New Roman" w:cs="Times New Roman"/>
                <w:color w:val="000000"/>
              </w:rPr>
              <w:t>Xiphinematobacter</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1C5BB5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0.2666</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9B04F0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2A21A67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2BA46E29"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Xiphinematobacteraceae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5E22E42C"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Candidatus</w:t>
            </w:r>
            <w:proofErr w:type="spellEnd"/>
            <w:r w:rsidRPr="000257F0">
              <w:rPr>
                <w:rFonts w:ascii="Times New Roman" w:hAnsi="Times New Roman" w:cs="Times New Roman"/>
                <w:color w:val="000000"/>
              </w:rPr>
              <w:t xml:space="preserve"> </w:t>
            </w:r>
            <w:proofErr w:type="spellStart"/>
            <w:r w:rsidRPr="000257F0">
              <w:rPr>
                <w:rFonts w:ascii="Times New Roman" w:hAnsi="Times New Roman" w:cs="Times New Roman"/>
                <w:color w:val="000000"/>
              </w:rPr>
              <w:t>Xiphinematobacter</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7B985E8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0.2600</w:t>
            </w:r>
          </w:p>
        </w:tc>
        <w:tc>
          <w:tcPr>
            <w:tcW w:w="2790" w:type="dxa"/>
            <w:tcBorders>
              <w:top w:val="nil"/>
              <w:left w:val="nil"/>
              <w:bottom w:val="single" w:sz="4" w:space="0" w:color="auto"/>
              <w:right w:val="single" w:sz="4" w:space="0" w:color="auto"/>
            </w:tcBorders>
            <w:shd w:val="clear" w:color="000000" w:fill="FFFFFF"/>
            <w:noWrap/>
            <w:vAlign w:val="center"/>
            <w:hideMark/>
          </w:tcPr>
          <w:p w14:paraId="1F7016A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71AEED69"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7FBD3A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Simkaniaceae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42F2D4BA"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Candidatus</w:t>
            </w:r>
            <w:proofErr w:type="spellEnd"/>
            <w:r w:rsidRPr="000257F0">
              <w:rPr>
                <w:rFonts w:ascii="Times New Roman" w:hAnsi="Times New Roman" w:cs="Times New Roman"/>
                <w:color w:val="000000"/>
              </w:rPr>
              <w:t xml:space="preserve"> </w:t>
            </w:r>
            <w:proofErr w:type="spellStart"/>
            <w:r w:rsidRPr="000257F0">
              <w:rPr>
                <w:rFonts w:ascii="Times New Roman" w:hAnsi="Times New Roman" w:cs="Times New Roman"/>
                <w:color w:val="000000"/>
              </w:rPr>
              <w:t>Rhabdochlamydia</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8D7CC7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0.2532</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09CBFCD3"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144B268C"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ED6CF4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71DAB37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6E24439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0.2503</w:t>
            </w:r>
          </w:p>
        </w:tc>
        <w:tc>
          <w:tcPr>
            <w:tcW w:w="2790" w:type="dxa"/>
            <w:tcBorders>
              <w:top w:val="nil"/>
              <w:left w:val="nil"/>
              <w:bottom w:val="single" w:sz="4" w:space="0" w:color="auto"/>
              <w:right w:val="single" w:sz="4" w:space="0" w:color="auto"/>
            </w:tcBorders>
            <w:shd w:val="clear" w:color="000000" w:fill="FFFFFF"/>
            <w:noWrap/>
            <w:vAlign w:val="center"/>
            <w:hideMark/>
          </w:tcPr>
          <w:p w14:paraId="00428DE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E1996E2"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21288DA"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Pirellulaceae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3C18D9A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Pir4 lineage</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2063ED5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0.2568</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495B3A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5FE58906"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6BE430D"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000000" w:fill="FFFFFF"/>
            <w:noWrap/>
            <w:vAlign w:val="center"/>
            <w:hideMark/>
          </w:tcPr>
          <w:p w14:paraId="2C1F399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44F136F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0.2640</w:t>
            </w:r>
          </w:p>
        </w:tc>
        <w:tc>
          <w:tcPr>
            <w:tcW w:w="2790" w:type="dxa"/>
            <w:tcBorders>
              <w:top w:val="nil"/>
              <w:left w:val="nil"/>
              <w:bottom w:val="single" w:sz="4" w:space="0" w:color="auto"/>
              <w:right w:val="single" w:sz="4" w:space="0" w:color="auto"/>
            </w:tcBorders>
            <w:shd w:val="clear" w:color="000000" w:fill="FFFFFF"/>
            <w:noWrap/>
            <w:vAlign w:val="center"/>
            <w:hideMark/>
          </w:tcPr>
          <w:p w14:paraId="74D664CA"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3B646A6B"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3C69DC0"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Microscillaceae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59E77CF"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5B672EB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0.2714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20781FB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31699529"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16536FA7"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Chitinophagaceae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19EF18E9"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049B61D0"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0.2571</w:t>
            </w:r>
          </w:p>
        </w:tc>
        <w:tc>
          <w:tcPr>
            <w:tcW w:w="2790" w:type="dxa"/>
            <w:tcBorders>
              <w:top w:val="nil"/>
              <w:left w:val="nil"/>
              <w:bottom w:val="single" w:sz="4" w:space="0" w:color="auto"/>
              <w:right w:val="single" w:sz="4" w:space="0" w:color="auto"/>
            </w:tcBorders>
            <w:shd w:val="clear" w:color="000000" w:fill="FFFFFF"/>
            <w:noWrap/>
            <w:vAlign w:val="center"/>
            <w:hideMark/>
          </w:tcPr>
          <w:p w14:paraId="580420C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6E4F2EF3"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A8C01D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82F549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3ACC391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0.2784</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47B7B95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0B747BE2"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6EC91E61"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Unknown Family_4</w:t>
            </w:r>
          </w:p>
        </w:tc>
        <w:tc>
          <w:tcPr>
            <w:tcW w:w="2447" w:type="dxa"/>
            <w:tcBorders>
              <w:top w:val="nil"/>
              <w:left w:val="nil"/>
              <w:bottom w:val="single" w:sz="4" w:space="0" w:color="auto"/>
              <w:right w:val="single" w:sz="4" w:space="0" w:color="auto"/>
            </w:tcBorders>
            <w:shd w:val="clear" w:color="000000" w:fill="FFFFFF"/>
            <w:noWrap/>
            <w:vAlign w:val="center"/>
            <w:hideMark/>
          </w:tcPr>
          <w:p w14:paraId="349F640D"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Acidibacter</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61CE2774"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0.2937</w:t>
            </w:r>
          </w:p>
        </w:tc>
        <w:tc>
          <w:tcPr>
            <w:tcW w:w="2790" w:type="dxa"/>
            <w:tcBorders>
              <w:top w:val="nil"/>
              <w:left w:val="nil"/>
              <w:bottom w:val="single" w:sz="4" w:space="0" w:color="auto"/>
              <w:right w:val="single" w:sz="4" w:space="0" w:color="auto"/>
            </w:tcBorders>
            <w:shd w:val="clear" w:color="000000" w:fill="FFFFFF"/>
            <w:noWrap/>
            <w:vAlign w:val="center"/>
            <w:hideMark/>
          </w:tcPr>
          <w:p w14:paraId="3CCC7A16"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4D876E38"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EC1311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Rhodanobacteraceae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24843A36"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Luteibacter</w:t>
            </w:r>
            <w:proofErr w:type="spellEnd"/>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7FB9E5B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0.2690</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19AE4485"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13DAA971"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5F9C3442"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Rhodanobacteraceae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068DA09F" w14:textId="77777777" w:rsidR="0003798D" w:rsidRPr="000257F0" w:rsidRDefault="0003798D" w:rsidP="000D5074">
            <w:pPr>
              <w:jc w:val="center"/>
              <w:rPr>
                <w:rFonts w:ascii="Times New Roman" w:hAnsi="Times New Roman" w:cs="Times New Roman"/>
                <w:i/>
                <w:iCs/>
                <w:color w:val="000000"/>
              </w:rPr>
            </w:pPr>
            <w:proofErr w:type="spellStart"/>
            <w:r w:rsidRPr="000257F0">
              <w:rPr>
                <w:rFonts w:ascii="Times New Roman" w:hAnsi="Times New Roman" w:cs="Times New Roman"/>
                <w:i/>
                <w:iCs/>
                <w:color w:val="000000"/>
              </w:rPr>
              <w:t>Rhodanobacter</w:t>
            </w:r>
            <w:proofErr w:type="spellEnd"/>
          </w:p>
        </w:tc>
        <w:tc>
          <w:tcPr>
            <w:tcW w:w="1530" w:type="dxa"/>
            <w:tcBorders>
              <w:top w:val="nil"/>
              <w:left w:val="nil"/>
              <w:bottom w:val="single" w:sz="4" w:space="0" w:color="auto"/>
              <w:right w:val="single" w:sz="4" w:space="0" w:color="auto"/>
            </w:tcBorders>
            <w:shd w:val="clear" w:color="000000" w:fill="FFFFFF"/>
            <w:noWrap/>
            <w:vAlign w:val="center"/>
            <w:hideMark/>
          </w:tcPr>
          <w:p w14:paraId="0257A2AC"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0.2886</w:t>
            </w:r>
          </w:p>
        </w:tc>
        <w:tc>
          <w:tcPr>
            <w:tcW w:w="2790" w:type="dxa"/>
            <w:tcBorders>
              <w:top w:val="nil"/>
              <w:left w:val="nil"/>
              <w:bottom w:val="single" w:sz="4" w:space="0" w:color="auto"/>
              <w:right w:val="single" w:sz="4" w:space="0" w:color="auto"/>
            </w:tcBorders>
            <w:shd w:val="clear" w:color="000000" w:fill="FFFFFF"/>
            <w:noWrap/>
            <w:vAlign w:val="center"/>
            <w:hideMark/>
          </w:tcPr>
          <w:p w14:paraId="770848B8"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04C4D2E3" w14:textId="77777777" w:rsidTr="004827E7">
        <w:trPr>
          <w:trHeight w:val="320"/>
        </w:trPr>
        <w:tc>
          <w:tcPr>
            <w:tcW w:w="2588"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6A3225A"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Moraxellaceae</w:t>
            </w:r>
            <w:proofErr w:type="spellEnd"/>
          </w:p>
        </w:tc>
        <w:tc>
          <w:tcPr>
            <w:tcW w:w="2447" w:type="dxa"/>
            <w:tcBorders>
              <w:top w:val="nil"/>
              <w:left w:val="nil"/>
              <w:bottom w:val="single" w:sz="4" w:space="0" w:color="auto"/>
              <w:right w:val="single" w:sz="4" w:space="0" w:color="auto"/>
            </w:tcBorders>
            <w:shd w:val="clear" w:color="auto" w:fill="F2F2F2" w:themeFill="background1" w:themeFillShade="F2"/>
            <w:noWrap/>
            <w:vAlign w:val="center"/>
            <w:hideMark/>
          </w:tcPr>
          <w:p w14:paraId="7B69A96A" w14:textId="77777777" w:rsidR="0003798D" w:rsidRPr="000257F0" w:rsidRDefault="0003798D" w:rsidP="000D5074">
            <w:pPr>
              <w:jc w:val="center"/>
              <w:rPr>
                <w:rFonts w:ascii="Times New Roman" w:hAnsi="Times New Roman" w:cs="Times New Roman"/>
                <w:i/>
                <w:iCs/>
                <w:color w:val="000000"/>
              </w:rPr>
            </w:pPr>
            <w:r w:rsidRPr="000257F0">
              <w:rPr>
                <w:rFonts w:ascii="Times New Roman" w:hAnsi="Times New Roman" w:cs="Times New Roman"/>
                <w:i/>
                <w:iCs/>
                <w:color w:val="000000"/>
              </w:rPr>
              <w:t>Acinetobacter</w:t>
            </w:r>
          </w:p>
        </w:tc>
        <w:tc>
          <w:tcPr>
            <w:tcW w:w="1530" w:type="dxa"/>
            <w:tcBorders>
              <w:top w:val="nil"/>
              <w:left w:val="nil"/>
              <w:bottom w:val="single" w:sz="4" w:space="0" w:color="auto"/>
              <w:right w:val="single" w:sz="4" w:space="0" w:color="auto"/>
            </w:tcBorders>
            <w:shd w:val="clear" w:color="auto" w:fill="F2F2F2" w:themeFill="background1" w:themeFillShade="F2"/>
            <w:noWrap/>
            <w:vAlign w:val="center"/>
            <w:hideMark/>
          </w:tcPr>
          <w:p w14:paraId="1F9535B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0.2667</w:t>
            </w:r>
          </w:p>
        </w:tc>
        <w:tc>
          <w:tcPr>
            <w:tcW w:w="2790" w:type="dxa"/>
            <w:tcBorders>
              <w:top w:val="nil"/>
              <w:left w:val="nil"/>
              <w:bottom w:val="single" w:sz="4" w:space="0" w:color="auto"/>
              <w:right w:val="single" w:sz="4" w:space="0" w:color="auto"/>
            </w:tcBorders>
            <w:shd w:val="clear" w:color="auto" w:fill="F2F2F2" w:themeFill="background1" w:themeFillShade="F2"/>
            <w:noWrap/>
            <w:vAlign w:val="center"/>
            <w:hideMark/>
          </w:tcPr>
          <w:p w14:paraId="3A3B01E7"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r w:rsidR="0003798D" w:rsidRPr="000257F0" w14:paraId="1FB2DBF3" w14:textId="77777777" w:rsidTr="000D5074">
        <w:trPr>
          <w:trHeight w:val="320"/>
        </w:trPr>
        <w:tc>
          <w:tcPr>
            <w:tcW w:w="2588" w:type="dxa"/>
            <w:tcBorders>
              <w:top w:val="nil"/>
              <w:left w:val="single" w:sz="4" w:space="0" w:color="auto"/>
              <w:bottom w:val="single" w:sz="4" w:space="0" w:color="auto"/>
              <w:right w:val="single" w:sz="4" w:space="0" w:color="auto"/>
            </w:tcBorders>
            <w:shd w:val="clear" w:color="000000" w:fill="FFFFFF"/>
            <w:noWrap/>
            <w:vAlign w:val="center"/>
            <w:hideMark/>
          </w:tcPr>
          <w:p w14:paraId="0DDB0B63" w14:textId="77777777" w:rsidR="0003798D" w:rsidRPr="000257F0" w:rsidRDefault="0003798D" w:rsidP="000D5074">
            <w:pPr>
              <w:jc w:val="center"/>
              <w:rPr>
                <w:rFonts w:ascii="Times New Roman" w:hAnsi="Times New Roman" w:cs="Times New Roman"/>
                <w:color w:val="000000"/>
              </w:rPr>
            </w:pPr>
            <w:proofErr w:type="spellStart"/>
            <w:r w:rsidRPr="000257F0">
              <w:rPr>
                <w:rFonts w:ascii="Times New Roman" w:hAnsi="Times New Roman" w:cs="Times New Roman"/>
                <w:color w:val="000000"/>
              </w:rPr>
              <w:t>Moraxellaceae</w:t>
            </w:r>
            <w:proofErr w:type="spellEnd"/>
          </w:p>
        </w:tc>
        <w:tc>
          <w:tcPr>
            <w:tcW w:w="2447" w:type="dxa"/>
            <w:tcBorders>
              <w:top w:val="nil"/>
              <w:left w:val="nil"/>
              <w:bottom w:val="single" w:sz="4" w:space="0" w:color="auto"/>
              <w:right w:val="single" w:sz="4" w:space="0" w:color="auto"/>
            </w:tcBorders>
            <w:shd w:val="clear" w:color="000000" w:fill="FFFFFF"/>
            <w:noWrap/>
            <w:vAlign w:val="center"/>
            <w:hideMark/>
          </w:tcPr>
          <w:p w14:paraId="27507BEE"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NA</w:t>
            </w:r>
          </w:p>
        </w:tc>
        <w:tc>
          <w:tcPr>
            <w:tcW w:w="1530" w:type="dxa"/>
            <w:tcBorders>
              <w:top w:val="nil"/>
              <w:left w:val="nil"/>
              <w:bottom w:val="single" w:sz="4" w:space="0" w:color="auto"/>
              <w:right w:val="single" w:sz="4" w:space="0" w:color="auto"/>
            </w:tcBorders>
            <w:shd w:val="clear" w:color="000000" w:fill="FFFFFF"/>
            <w:noWrap/>
            <w:vAlign w:val="center"/>
            <w:hideMark/>
          </w:tcPr>
          <w:p w14:paraId="55AF1E52"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0.2640</w:t>
            </w:r>
          </w:p>
        </w:tc>
        <w:tc>
          <w:tcPr>
            <w:tcW w:w="2790" w:type="dxa"/>
            <w:tcBorders>
              <w:top w:val="nil"/>
              <w:left w:val="nil"/>
              <w:bottom w:val="single" w:sz="4" w:space="0" w:color="auto"/>
              <w:right w:val="single" w:sz="4" w:space="0" w:color="auto"/>
            </w:tcBorders>
            <w:shd w:val="clear" w:color="000000" w:fill="FFFFFF"/>
            <w:noWrap/>
            <w:vAlign w:val="center"/>
            <w:hideMark/>
          </w:tcPr>
          <w:p w14:paraId="3A2B06DB" w14:textId="77777777" w:rsidR="0003798D" w:rsidRPr="000257F0" w:rsidRDefault="0003798D" w:rsidP="000D5074">
            <w:pPr>
              <w:jc w:val="center"/>
              <w:rPr>
                <w:rFonts w:ascii="Times New Roman" w:hAnsi="Times New Roman" w:cs="Times New Roman"/>
                <w:color w:val="000000"/>
              </w:rPr>
            </w:pPr>
            <w:r w:rsidRPr="000257F0">
              <w:rPr>
                <w:rFonts w:ascii="Times New Roman" w:hAnsi="Times New Roman" w:cs="Times New Roman"/>
                <w:color w:val="000000"/>
              </w:rPr>
              <w:t>Terrestrial Salamanders</w:t>
            </w:r>
          </w:p>
        </w:tc>
      </w:tr>
    </w:tbl>
    <w:p w14:paraId="2BACAB55" w14:textId="77777777" w:rsidR="0003798D" w:rsidRDefault="0003798D" w:rsidP="0003798D">
      <w:r>
        <w:br w:type="page"/>
      </w:r>
    </w:p>
    <w:p w14:paraId="43796055" w14:textId="77777777" w:rsidR="002609CD" w:rsidRPr="002609CD" w:rsidRDefault="002609CD" w:rsidP="002609CD"/>
    <w:p w14:paraId="2B3E403F" w14:textId="77777777" w:rsidR="00B95028" w:rsidRDefault="002609CD" w:rsidP="00B95028">
      <w:pPr>
        <w:keepNext/>
      </w:pPr>
      <w:r>
        <w:rPr>
          <w:rFonts w:ascii="Times" w:hAnsi="Times"/>
          <w:noProof/>
        </w:rPr>
        <w:drawing>
          <wp:inline distT="0" distB="0" distL="0" distR="0" wp14:anchorId="354CF6C1" wp14:editId="5C9DA709">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AFAF2CF" w14:textId="3B4D3522" w:rsidR="00E57B67" w:rsidRPr="00B24BE4" w:rsidRDefault="00DB13C8" w:rsidP="00DB13C8">
      <w:pPr>
        <w:pStyle w:val="Caption"/>
        <w:rPr>
          <w:rFonts w:ascii="Times New Roman" w:hAnsi="Times New Roman" w:cs="Times New Roman"/>
          <w:b w:val="0"/>
          <w:bCs w:val="0"/>
        </w:rPr>
      </w:pPr>
      <w:bookmarkStart w:id="202" w:name="_Toc164849254"/>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6</w:t>
      </w:r>
      <w:r w:rsidRPr="00B24BE4">
        <w:rPr>
          <w:rFonts w:ascii="Times New Roman" w:hAnsi="Times New Roman" w:cs="Times New Roman"/>
          <w:b w:val="0"/>
          <w:bCs w:val="0"/>
        </w:rPr>
        <w:fldChar w:fldCharType="end"/>
      </w:r>
      <w:r w:rsidRPr="00B24BE4">
        <w:rPr>
          <w:rFonts w:ascii="Times New Roman" w:hAnsi="Times New Roman" w:cs="Times New Roman"/>
          <w:b w:val="0"/>
          <w:bCs w:val="0"/>
        </w:rPr>
        <w:t xml:space="preserve">: Unconstrained ordination of Horn and </w:t>
      </w:r>
      <w:proofErr w:type="spellStart"/>
      <w:r w:rsidRPr="00B24BE4">
        <w:rPr>
          <w:rFonts w:ascii="Times New Roman" w:hAnsi="Times New Roman" w:cs="Times New Roman"/>
          <w:b w:val="0"/>
          <w:bCs w:val="0"/>
        </w:rPr>
        <w:t>PhyloHorn</w:t>
      </w:r>
      <w:proofErr w:type="spellEnd"/>
      <w:r w:rsidRPr="00B24BE4">
        <w:rPr>
          <w:rFonts w:ascii="Times New Roman" w:hAnsi="Times New Roman" w:cs="Times New Roman"/>
          <w:b w:val="0"/>
          <w:bCs w:val="0"/>
        </w:rPr>
        <w:t xml:space="preserve"> dissimilarities between salamanders and cover objects, seasonally.</w:t>
      </w:r>
      <w:bookmarkEnd w:id="202"/>
    </w:p>
    <w:p w14:paraId="63C11394" w14:textId="77777777" w:rsidR="00E57B67" w:rsidRPr="00E57B67" w:rsidRDefault="00E57B67" w:rsidP="00E57B67"/>
    <w:p w14:paraId="4DFC8B81" w14:textId="77777777" w:rsidR="00D82873" w:rsidRDefault="00D82873" w:rsidP="005E54E2">
      <w:pPr>
        <w:pStyle w:val="Heading1"/>
        <w:rPr>
          <w:rFonts w:ascii="Times New Roman" w:hAnsi="Times New Roman" w:cs="Times New Roman"/>
          <w:sz w:val="24"/>
        </w:rPr>
      </w:pPr>
    </w:p>
    <w:p w14:paraId="1EBFEDA3" w14:textId="77777777" w:rsidR="00D82873" w:rsidRDefault="00D82873" w:rsidP="005E54E2">
      <w:pPr>
        <w:pStyle w:val="Heading1"/>
        <w:rPr>
          <w:rFonts w:ascii="Times New Roman" w:hAnsi="Times New Roman" w:cs="Times New Roman"/>
          <w:sz w:val="24"/>
        </w:rPr>
      </w:pPr>
    </w:p>
    <w:p w14:paraId="15D987D5" w14:textId="77777777" w:rsidR="00EE4B4B" w:rsidRDefault="00EE4B4B" w:rsidP="005E54E2">
      <w:pPr>
        <w:pStyle w:val="Heading1"/>
        <w:rPr>
          <w:rFonts w:ascii="Times New Roman" w:hAnsi="Times New Roman" w:cs="Times New Roman"/>
          <w:sz w:val="24"/>
        </w:rPr>
      </w:pPr>
    </w:p>
    <w:p w14:paraId="1FC3708D" w14:textId="3133C343" w:rsidR="00D82873" w:rsidRDefault="00D82873" w:rsidP="005E54E2">
      <w:pPr>
        <w:pStyle w:val="Heading1"/>
        <w:rPr>
          <w:rFonts w:ascii="Times New Roman" w:hAnsi="Times New Roman" w:cs="Times New Roman"/>
          <w:sz w:val="24"/>
        </w:rPr>
      </w:pPr>
    </w:p>
    <w:p w14:paraId="48F7F713" w14:textId="77777777" w:rsidR="00D82873" w:rsidRDefault="00D82873" w:rsidP="005E54E2">
      <w:pPr>
        <w:pStyle w:val="Heading1"/>
        <w:rPr>
          <w:rFonts w:ascii="Times New Roman" w:hAnsi="Times New Roman" w:cs="Times New Roman"/>
          <w:sz w:val="24"/>
        </w:rPr>
      </w:pPr>
    </w:p>
    <w:p w14:paraId="62286828" w14:textId="39FE005D" w:rsidR="00D82873" w:rsidRDefault="00D82873" w:rsidP="005E54E2">
      <w:pPr>
        <w:pStyle w:val="Heading1"/>
        <w:rPr>
          <w:rFonts w:ascii="Times New Roman" w:hAnsi="Times New Roman" w:cs="Times New Roman"/>
          <w:sz w:val="24"/>
        </w:rPr>
      </w:pPr>
    </w:p>
    <w:p w14:paraId="1568481C" w14:textId="77777777" w:rsidR="00D82873" w:rsidRDefault="00D82873" w:rsidP="005E54E2">
      <w:pPr>
        <w:pStyle w:val="Heading1"/>
        <w:rPr>
          <w:rFonts w:ascii="Times New Roman" w:hAnsi="Times New Roman" w:cs="Times New Roman"/>
          <w:sz w:val="24"/>
        </w:rPr>
      </w:pPr>
    </w:p>
    <w:p w14:paraId="4E994FD6" w14:textId="77777777" w:rsidR="00D82873" w:rsidRDefault="00D82873" w:rsidP="005E54E2">
      <w:pPr>
        <w:pStyle w:val="Heading1"/>
        <w:rPr>
          <w:rFonts w:ascii="Times New Roman" w:hAnsi="Times New Roman" w:cs="Times New Roman"/>
          <w:sz w:val="24"/>
        </w:rPr>
      </w:pPr>
    </w:p>
    <w:p w14:paraId="5B3708A3" w14:textId="77777777" w:rsidR="00D82873" w:rsidRDefault="00D82873" w:rsidP="00D82873"/>
    <w:p w14:paraId="38E3B3B0" w14:textId="77777777" w:rsidR="00D82873" w:rsidRDefault="00D82873" w:rsidP="00D82873"/>
    <w:p w14:paraId="1E5BBDA1" w14:textId="77777777" w:rsidR="00D82873" w:rsidRDefault="00D82873" w:rsidP="00D82873"/>
    <w:p w14:paraId="493960C2" w14:textId="77777777" w:rsidR="00D82873" w:rsidRDefault="00D82873" w:rsidP="00D82873"/>
    <w:p w14:paraId="2C85B4D9" w14:textId="77777777" w:rsidR="00D82873" w:rsidRDefault="00D82873" w:rsidP="00D82873"/>
    <w:p w14:paraId="2C350083" w14:textId="60D5930B" w:rsidR="00C57BCC" w:rsidRDefault="00C57BCC"/>
    <w:p w14:paraId="20585DD5" w14:textId="77777777" w:rsidR="00D82873" w:rsidRDefault="00D82873" w:rsidP="00D82873"/>
    <w:p w14:paraId="53771697" w14:textId="77777777" w:rsidR="00B95028" w:rsidRDefault="002609CD" w:rsidP="00B95028">
      <w:pPr>
        <w:keepNext/>
      </w:pPr>
      <w:r>
        <w:rPr>
          <w:noProof/>
        </w:rPr>
        <w:drawing>
          <wp:inline distT="0" distB="0" distL="0" distR="0" wp14:anchorId="6F95DE04" wp14:editId="62A8D2B8">
            <wp:extent cx="5647763" cy="3090291"/>
            <wp:effectExtent l="0" t="0" r="381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34">
                      <a:extLst>
                        <a:ext uri="{28A0092B-C50C-407E-A947-70E740481C1C}">
                          <a14:useLocalDpi xmlns:a14="http://schemas.microsoft.com/office/drawing/2010/main" val="0"/>
                        </a:ext>
                      </a:extLst>
                    </a:blip>
                    <a:srcRect l="6391" t="10457" r="1" b="12714"/>
                    <a:stretch/>
                  </pic:blipFill>
                  <pic:spPr bwMode="auto">
                    <a:xfrm>
                      <a:off x="0" y="0"/>
                      <a:ext cx="5648960" cy="3090946"/>
                    </a:xfrm>
                    <a:prstGeom prst="rect">
                      <a:avLst/>
                    </a:prstGeom>
                    <a:ln>
                      <a:noFill/>
                    </a:ln>
                    <a:extLst>
                      <a:ext uri="{53640926-AAD7-44D8-BBD7-CCE9431645EC}">
                        <a14:shadowObscured xmlns:a14="http://schemas.microsoft.com/office/drawing/2010/main"/>
                      </a:ext>
                    </a:extLst>
                  </pic:spPr>
                </pic:pic>
              </a:graphicData>
            </a:graphic>
          </wp:inline>
        </w:drawing>
      </w:r>
    </w:p>
    <w:p w14:paraId="698A16D3" w14:textId="27911FE4" w:rsidR="002609CD" w:rsidRPr="00B24BE4" w:rsidRDefault="00DB13C8" w:rsidP="00DB13C8">
      <w:pPr>
        <w:pStyle w:val="Caption"/>
        <w:rPr>
          <w:rFonts w:ascii="Times New Roman" w:hAnsi="Times New Roman" w:cs="Times New Roman"/>
          <w:b w:val="0"/>
          <w:bCs w:val="0"/>
        </w:rPr>
      </w:pPr>
      <w:bookmarkStart w:id="203" w:name="_Toc164849255"/>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7</w:t>
      </w:r>
      <w:r w:rsidRPr="00B24BE4">
        <w:rPr>
          <w:rFonts w:ascii="Times New Roman" w:hAnsi="Times New Roman" w:cs="Times New Roman"/>
          <w:b w:val="0"/>
          <w:bCs w:val="0"/>
        </w:rPr>
        <w:fldChar w:fldCharType="end"/>
      </w:r>
      <w:r w:rsidRPr="00B24BE4">
        <w:rPr>
          <w:rFonts w:ascii="Times New Roman" w:hAnsi="Times New Roman" w:cs="Times New Roman"/>
          <w:b w:val="0"/>
          <w:bCs w:val="0"/>
        </w:rPr>
        <w:t>: Variance partitioning of the Horn dissimilarity for salamander-associated assemblages.</w:t>
      </w:r>
      <w:bookmarkEnd w:id="203"/>
    </w:p>
    <w:p w14:paraId="529499D6" w14:textId="77777777" w:rsidR="002609CD" w:rsidRDefault="002609CD" w:rsidP="00C57BCC">
      <w:pPr>
        <w:pStyle w:val="Heading1"/>
      </w:pPr>
    </w:p>
    <w:p w14:paraId="56CCB340" w14:textId="77777777" w:rsidR="002609CD" w:rsidRDefault="002609CD">
      <w:pPr>
        <w:rPr>
          <w:b/>
          <w:bCs/>
          <w:caps/>
          <w:sz w:val="28"/>
        </w:rPr>
      </w:pPr>
      <w:r>
        <w:br w:type="page"/>
      </w:r>
    </w:p>
    <w:p w14:paraId="6EA997E2" w14:textId="77777777" w:rsidR="00DB13C8" w:rsidRDefault="002609CD" w:rsidP="00DB13C8">
      <w:pPr>
        <w:keepNext/>
      </w:pPr>
      <w:r>
        <w:rPr>
          <w:noProof/>
        </w:rPr>
        <w:lastRenderedPageBreak/>
        <w:drawing>
          <wp:inline distT="0" distB="0" distL="0" distR="0" wp14:anchorId="1C0074A1" wp14:editId="72EC06FF">
            <wp:extent cx="5942736" cy="3062732"/>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35">
                      <a:extLst>
                        <a:ext uri="{28A0092B-C50C-407E-A947-70E740481C1C}">
                          <a14:useLocalDpi xmlns:a14="http://schemas.microsoft.com/office/drawing/2010/main" val="0"/>
                        </a:ext>
                      </a:extLst>
                    </a:blip>
                    <a:srcRect t="10848" b="11846"/>
                    <a:stretch/>
                  </pic:blipFill>
                  <pic:spPr bwMode="auto">
                    <a:xfrm>
                      <a:off x="0" y="0"/>
                      <a:ext cx="5943600" cy="3063177"/>
                    </a:xfrm>
                    <a:prstGeom prst="rect">
                      <a:avLst/>
                    </a:prstGeom>
                    <a:ln>
                      <a:noFill/>
                    </a:ln>
                    <a:extLst>
                      <a:ext uri="{53640926-AAD7-44D8-BBD7-CCE9431645EC}">
                        <a14:shadowObscured xmlns:a14="http://schemas.microsoft.com/office/drawing/2010/main"/>
                      </a:ext>
                    </a:extLst>
                  </pic:spPr>
                </pic:pic>
              </a:graphicData>
            </a:graphic>
          </wp:inline>
        </w:drawing>
      </w:r>
    </w:p>
    <w:p w14:paraId="7BAA6A57" w14:textId="79FBF9E2" w:rsidR="002609CD" w:rsidRPr="00B24BE4" w:rsidRDefault="00DB13C8" w:rsidP="00DB13C8">
      <w:pPr>
        <w:pStyle w:val="Caption"/>
        <w:rPr>
          <w:rFonts w:ascii="Times New Roman" w:hAnsi="Times New Roman" w:cs="Times New Roman"/>
          <w:b w:val="0"/>
          <w:bCs w:val="0"/>
        </w:rPr>
      </w:pPr>
      <w:bookmarkStart w:id="204" w:name="_Toc164849256"/>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8</w:t>
      </w:r>
      <w:r w:rsidRPr="00B24BE4">
        <w:rPr>
          <w:rFonts w:ascii="Times New Roman" w:hAnsi="Times New Roman" w:cs="Times New Roman"/>
          <w:b w:val="0"/>
          <w:bCs w:val="0"/>
        </w:rPr>
        <w:fldChar w:fldCharType="end"/>
      </w:r>
      <w:r w:rsidRPr="00B24BE4">
        <w:rPr>
          <w:rFonts w:ascii="Times New Roman" w:hAnsi="Times New Roman" w:cs="Times New Roman"/>
          <w:b w:val="0"/>
          <w:bCs w:val="0"/>
        </w:rPr>
        <w:t xml:space="preserve">: Variance partitioning of the </w:t>
      </w:r>
      <w:proofErr w:type="spellStart"/>
      <w:r w:rsidRPr="00B24BE4">
        <w:rPr>
          <w:rFonts w:ascii="Times New Roman" w:hAnsi="Times New Roman" w:cs="Times New Roman"/>
          <w:b w:val="0"/>
          <w:bCs w:val="0"/>
        </w:rPr>
        <w:t>PhyloHorn</w:t>
      </w:r>
      <w:proofErr w:type="spellEnd"/>
      <w:r w:rsidRPr="00B24BE4">
        <w:rPr>
          <w:rFonts w:ascii="Times New Roman" w:hAnsi="Times New Roman" w:cs="Times New Roman"/>
          <w:b w:val="0"/>
          <w:bCs w:val="0"/>
        </w:rPr>
        <w:t xml:space="preserve"> dissimilarity for salamander-associated assemblages.</w:t>
      </w:r>
      <w:bookmarkEnd w:id="204"/>
    </w:p>
    <w:p w14:paraId="51062A5C" w14:textId="77777777" w:rsidR="002609CD" w:rsidRDefault="002609CD">
      <w:pPr>
        <w:rPr>
          <w:b/>
          <w:bCs/>
          <w:caps/>
          <w:sz w:val="28"/>
        </w:rPr>
      </w:pPr>
      <w:r>
        <w:br w:type="page"/>
      </w:r>
    </w:p>
    <w:p w14:paraId="06D2A967" w14:textId="77777777" w:rsidR="00ED1D10" w:rsidRDefault="002609CD" w:rsidP="00ED1D10">
      <w:pPr>
        <w:keepNext/>
      </w:pPr>
      <w:r>
        <w:rPr>
          <w:noProof/>
        </w:rPr>
        <w:lastRenderedPageBreak/>
        <w:drawing>
          <wp:inline distT="0" distB="0" distL="0" distR="0" wp14:anchorId="1E3C5EA3" wp14:editId="0AE76383">
            <wp:extent cx="5943600" cy="4471674"/>
            <wp:effectExtent l="0" t="0" r="0" b="0"/>
            <wp:docPr id="7" name="Picture 7"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screenshot, desig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4471674"/>
                    </a:xfrm>
                    <a:prstGeom prst="rect">
                      <a:avLst/>
                    </a:prstGeom>
                  </pic:spPr>
                </pic:pic>
              </a:graphicData>
            </a:graphic>
          </wp:inline>
        </w:drawing>
      </w:r>
    </w:p>
    <w:p w14:paraId="330F59A1" w14:textId="6DA5BCA8" w:rsidR="00954B91" w:rsidRPr="00B24BE4" w:rsidRDefault="00ED1D10" w:rsidP="00954B91">
      <w:pPr>
        <w:pStyle w:val="Caption"/>
        <w:rPr>
          <w:rFonts w:ascii="Times New Roman" w:hAnsi="Times New Roman" w:cs="Times New Roman"/>
          <w:b w:val="0"/>
          <w:bCs w:val="0"/>
        </w:rPr>
      </w:pPr>
      <w:bookmarkStart w:id="205" w:name="_Toc164849257"/>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9</w:t>
      </w:r>
      <w:r w:rsidRPr="00B24BE4">
        <w:rPr>
          <w:rFonts w:ascii="Times New Roman" w:hAnsi="Times New Roman" w:cs="Times New Roman"/>
          <w:b w:val="0"/>
          <w:bCs w:val="0"/>
        </w:rPr>
        <w:fldChar w:fldCharType="end"/>
      </w:r>
      <w:r w:rsidRPr="00B24BE4">
        <w:rPr>
          <w:rFonts w:ascii="Times New Roman" w:hAnsi="Times New Roman" w:cs="Times New Roman"/>
          <w:b w:val="0"/>
          <w:bCs w:val="0"/>
        </w:rPr>
        <w:t>: Heatmap showing relative abundance of ‘common core’ OTUs during spring sampling.</w:t>
      </w:r>
      <w:r w:rsidR="00954B91" w:rsidRPr="00B24BE4">
        <w:rPr>
          <w:rFonts w:ascii="Times New Roman" w:hAnsi="Times New Roman" w:cs="Times New Roman"/>
          <w:b w:val="0"/>
          <w:bCs w:val="0"/>
        </w:rPr>
        <w:t xml:space="preserve"> Highlighted families are families with common OTUs shared across all sampling seasons.</w:t>
      </w:r>
      <w:bookmarkEnd w:id="205"/>
    </w:p>
    <w:p w14:paraId="72FFD7F7" w14:textId="6EEE3B18" w:rsidR="00B95028" w:rsidRPr="004E6291" w:rsidRDefault="00B95028" w:rsidP="00ED1D10">
      <w:pPr>
        <w:pStyle w:val="Caption"/>
        <w:rPr>
          <w:rFonts w:ascii="Times New Roman" w:hAnsi="Times New Roman" w:cs="Times New Roman"/>
        </w:rPr>
      </w:pPr>
    </w:p>
    <w:p w14:paraId="21C291BA" w14:textId="131AB3FF" w:rsidR="002609CD" w:rsidRDefault="002609CD">
      <w:pPr>
        <w:rPr>
          <w:b/>
          <w:bCs/>
          <w:caps/>
          <w:sz w:val="28"/>
        </w:rPr>
      </w:pPr>
      <w:r>
        <w:br w:type="page"/>
      </w:r>
    </w:p>
    <w:p w14:paraId="110798CA" w14:textId="33AA00CA" w:rsidR="002609CD" w:rsidRPr="00B24BE4" w:rsidRDefault="002609CD" w:rsidP="00FC04A5">
      <w:pPr>
        <w:keepNext/>
      </w:pPr>
      <w:r w:rsidRPr="00B24BE4">
        <w:rPr>
          <w:noProof/>
        </w:rPr>
        <w:lastRenderedPageBreak/>
        <w:drawing>
          <wp:anchor distT="0" distB="0" distL="114300" distR="114300" simplePos="0" relativeHeight="251803648" behindDoc="1" locked="0" layoutInCell="1" allowOverlap="1" wp14:anchorId="5AB7780C" wp14:editId="75FA035C">
            <wp:simplePos x="0" y="0"/>
            <wp:positionH relativeFrom="column">
              <wp:posOffset>0</wp:posOffset>
            </wp:positionH>
            <wp:positionV relativeFrom="paragraph">
              <wp:posOffset>165</wp:posOffset>
            </wp:positionV>
            <wp:extent cx="5943600" cy="4478020"/>
            <wp:effectExtent l="0" t="0" r="0" b="5080"/>
            <wp:wrapSquare wrapText="bothSides"/>
            <wp:docPr id="8" name="Picture 8" descr="A picture containing text, screenshot, diagram,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screenshot, diagram, receip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4478020"/>
                    </a:xfrm>
                    <a:prstGeom prst="rect">
                      <a:avLst/>
                    </a:prstGeom>
                  </pic:spPr>
                </pic:pic>
              </a:graphicData>
            </a:graphic>
            <wp14:sizeRelH relativeFrom="page">
              <wp14:pctWidth>0</wp14:pctWidth>
            </wp14:sizeRelH>
            <wp14:sizeRelV relativeFrom="page">
              <wp14:pctHeight>0</wp14:pctHeight>
            </wp14:sizeRelV>
          </wp:anchor>
        </w:drawing>
      </w:r>
      <w:bookmarkStart w:id="206" w:name="_Toc164849258"/>
      <w:r w:rsidR="004E6291" w:rsidRPr="00B24BE4">
        <w:rPr>
          <w:rFonts w:ascii="Times New Roman" w:hAnsi="Times New Roman" w:cs="Times New Roman"/>
        </w:rPr>
        <w:t>Figure A</w:t>
      </w:r>
      <w:r w:rsidR="004E6291" w:rsidRPr="00B24BE4">
        <w:rPr>
          <w:rFonts w:ascii="Times New Roman" w:hAnsi="Times New Roman" w:cs="Times New Roman"/>
        </w:rPr>
        <w:fldChar w:fldCharType="begin"/>
      </w:r>
      <w:r w:rsidR="004E6291" w:rsidRPr="00B24BE4">
        <w:rPr>
          <w:rFonts w:ascii="Times New Roman" w:hAnsi="Times New Roman" w:cs="Times New Roman"/>
        </w:rPr>
        <w:instrText xml:space="preserve"> SEQ Figure_A \* ARABIC </w:instrText>
      </w:r>
      <w:r w:rsidR="004E6291" w:rsidRPr="00B24BE4">
        <w:rPr>
          <w:rFonts w:ascii="Times New Roman" w:hAnsi="Times New Roman" w:cs="Times New Roman"/>
        </w:rPr>
        <w:fldChar w:fldCharType="separate"/>
      </w:r>
      <w:r w:rsidR="001648DD">
        <w:rPr>
          <w:rFonts w:ascii="Times New Roman" w:hAnsi="Times New Roman" w:cs="Times New Roman"/>
          <w:noProof/>
        </w:rPr>
        <w:t>10</w:t>
      </w:r>
      <w:r w:rsidR="004E6291" w:rsidRPr="00B24BE4">
        <w:rPr>
          <w:rFonts w:ascii="Times New Roman" w:hAnsi="Times New Roman" w:cs="Times New Roman"/>
        </w:rPr>
        <w:fldChar w:fldCharType="end"/>
      </w:r>
      <w:r w:rsidR="004E6291" w:rsidRPr="00B24BE4">
        <w:rPr>
          <w:rFonts w:ascii="Times New Roman" w:hAnsi="Times New Roman" w:cs="Times New Roman"/>
        </w:rPr>
        <w:t>: Heatmap showing relative abundance of ‘common core’ OTUs during our summer sampling.</w:t>
      </w:r>
      <w:r w:rsidR="00606B06" w:rsidRPr="00B24BE4">
        <w:rPr>
          <w:rFonts w:ascii="Times New Roman" w:hAnsi="Times New Roman" w:cs="Times New Roman"/>
        </w:rPr>
        <w:t xml:space="preserve"> Highlighted families are families with common OTUs shared across all sampling seasons.</w:t>
      </w:r>
      <w:bookmarkEnd w:id="206"/>
      <w:r w:rsidRPr="00B24BE4">
        <w:br w:type="page"/>
      </w:r>
    </w:p>
    <w:p w14:paraId="7119F6F7" w14:textId="77777777" w:rsidR="004E6291" w:rsidRDefault="002609CD" w:rsidP="004E6291">
      <w:pPr>
        <w:keepNext/>
      </w:pPr>
      <w:r>
        <w:rPr>
          <w:noProof/>
        </w:rPr>
        <w:lastRenderedPageBreak/>
        <w:drawing>
          <wp:inline distT="0" distB="0" distL="0" distR="0" wp14:anchorId="1A0575CE" wp14:editId="1322635D">
            <wp:extent cx="5943600" cy="4468702"/>
            <wp:effectExtent l="0" t="0" r="0" b="1905"/>
            <wp:docPr id="9" name="Picture 9" descr="A picture containing text, screenshot,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screenshot, diagram, design&#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4468702"/>
                    </a:xfrm>
                    <a:prstGeom prst="rect">
                      <a:avLst/>
                    </a:prstGeom>
                  </pic:spPr>
                </pic:pic>
              </a:graphicData>
            </a:graphic>
          </wp:inline>
        </w:drawing>
      </w:r>
    </w:p>
    <w:p w14:paraId="15BB937A" w14:textId="4A6F34B5" w:rsidR="00B95028" w:rsidRPr="00B24BE4" w:rsidRDefault="004E6291" w:rsidP="004E6291">
      <w:pPr>
        <w:pStyle w:val="Caption"/>
        <w:rPr>
          <w:rFonts w:ascii="Times New Roman" w:hAnsi="Times New Roman" w:cs="Times New Roman"/>
          <w:b w:val="0"/>
          <w:bCs w:val="0"/>
        </w:rPr>
      </w:pPr>
      <w:bookmarkStart w:id="207" w:name="_Toc164849259"/>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11</w:t>
      </w:r>
      <w:r w:rsidRPr="00B24BE4">
        <w:rPr>
          <w:rFonts w:ascii="Times New Roman" w:hAnsi="Times New Roman" w:cs="Times New Roman"/>
          <w:b w:val="0"/>
          <w:bCs w:val="0"/>
        </w:rPr>
        <w:fldChar w:fldCharType="end"/>
      </w:r>
      <w:r w:rsidRPr="00B24BE4">
        <w:rPr>
          <w:rFonts w:ascii="Times New Roman" w:hAnsi="Times New Roman" w:cs="Times New Roman"/>
          <w:b w:val="0"/>
          <w:bCs w:val="0"/>
        </w:rPr>
        <w:t>: Heatmap showing relative abundance of ‘common core’ OTUs during the fall sampling.</w:t>
      </w:r>
      <w:r w:rsidR="00606B06" w:rsidRPr="00B24BE4">
        <w:rPr>
          <w:rFonts w:ascii="Times New Roman" w:hAnsi="Times New Roman" w:cs="Times New Roman"/>
          <w:b w:val="0"/>
          <w:bCs w:val="0"/>
        </w:rPr>
        <w:t xml:space="preserve"> Highlighted families are families with common OTUs shared across all sampling seasons.</w:t>
      </w:r>
      <w:bookmarkEnd w:id="207"/>
    </w:p>
    <w:p w14:paraId="10F797C3" w14:textId="122976C8" w:rsidR="002609CD" w:rsidRPr="00403FC0" w:rsidRDefault="002609CD" w:rsidP="00B95028">
      <w:pPr>
        <w:pStyle w:val="Caption"/>
        <w:rPr>
          <w:rFonts w:ascii="Times New Roman" w:hAnsi="Times New Roman" w:cs="Times New Roman"/>
        </w:rPr>
      </w:pPr>
    </w:p>
    <w:p w14:paraId="78E018B9" w14:textId="77777777" w:rsidR="002609CD" w:rsidRDefault="002609CD">
      <w:pPr>
        <w:rPr>
          <w:b/>
          <w:bCs/>
          <w:caps/>
          <w:sz w:val="28"/>
        </w:rPr>
      </w:pPr>
      <w:r>
        <w:br w:type="page"/>
      </w:r>
    </w:p>
    <w:p w14:paraId="201EE50E" w14:textId="77777777" w:rsidR="004E6291" w:rsidRDefault="002609CD" w:rsidP="004E6291">
      <w:pPr>
        <w:keepNext/>
      </w:pPr>
      <w:r>
        <w:rPr>
          <w:noProof/>
        </w:rPr>
        <w:lastRenderedPageBreak/>
        <w:drawing>
          <wp:inline distT="0" distB="0" distL="0" distR="0" wp14:anchorId="454243BD" wp14:editId="67E9E5D1">
            <wp:extent cx="5943600" cy="4470400"/>
            <wp:effectExtent l="0" t="0" r="0" b="0"/>
            <wp:docPr id="460679269" name="Picture 460679269" descr="A picture containing text, screenshot, diagram,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screenshot, diagram, desig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4470400"/>
                    </a:xfrm>
                    <a:prstGeom prst="rect">
                      <a:avLst/>
                    </a:prstGeom>
                  </pic:spPr>
                </pic:pic>
              </a:graphicData>
            </a:graphic>
          </wp:inline>
        </w:drawing>
      </w:r>
    </w:p>
    <w:p w14:paraId="62BEBBBA" w14:textId="3BB4C376" w:rsidR="002609CD" w:rsidRPr="00B24BE4" w:rsidRDefault="004E6291" w:rsidP="004E6291">
      <w:pPr>
        <w:pStyle w:val="Caption"/>
        <w:rPr>
          <w:rFonts w:ascii="Times New Roman" w:hAnsi="Times New Roman" w:cs="Times New Roman"/>
          <w:b w:val="0"/>
          <w:bCs w:val="0"/>
        </w:rPr>
      </w:pPr>
      <w:bookmarkStart w:id="208" w:name="_Toc164849260"/>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12</w:t>
      </w:r>
      <w:r w:rsidRPr="00B24BE4">
        <w:rPr>
          <w:rFonts w:ascii="Times New Roman" w:hAnsi="Times New Roman" w:cs="Times New Roman"/>
          <w:b w:val="0"/>
          <w:bCs w:val="0"/>
        </w:rPr>
        <w:fldChar w:fldCharType="end"/>
      </w:r>
      <w:r w:rsidRPr="00B24BE4">
        <w:rPr>
          <w:rFonts w:ascii="Times New Roman" w:hAnsi="Times New Roman" w:cs="Times New Roman"/>
          <w:b w:val="0"/>
          <w:bCs w:val="0"/>
        </w:rPr>
        <w:t>: Heatmap showing relative abundance of ‘common core’ OTUs during our winter sampling.</w:t>
      </w:r>
      <w:r w:rsidR="00606B06" w:rsidRPr="00B24BE4">
        <w:rPr>
          <w:rFonts w:ascii="Times New Roman" w:hAnsi="Times New Roman" w:cs="Times New Roman"/>
          <w:b w:val="0"/>
          <w:bCs w:val="0"/>
        </w:rPr>
        <w:t xml:space="preserve"> Highlighted families are families with common OTUs shared across all sampling seasons.</w:t>
      </w:r>
      <w:bookmarkEnd w:id="208"/>
    </w:p>
    <w:p w14:paraId="62BA43F8" w14:textId="77777777" w:rsidR="002609CD" w:rsidRDefault="002609CD">
      <w:pPr>
        <w:rPr>
          <w:b/>
          <w:bCs/>
          <w:caps/>
          <w:sz w:val="28"/>
        </w:rPr>
      </w:pPr>
      <w:r>
        <w:br w:type="page"/>
      </w:r>
    </w:p>
    <w:p w14:paraId="376E99EF" w14:textId="77777777" w:rsidR="004E6291" w:rsidRDefault="002609CD" w:rsidP="004E6291">
      <w:pPr>
        <w:keepNext/>
      </w:pPr>
      <w:r>
        <w:rPr>
          <w:noProof/>
        </w:rPr>
        <w:lastRenderedPageBreak/>
        <w:drawing>
          <wp:inline distT="0" distB="0" distL="0" distR="0" wp14:anchorId="6E74C9A1" wp14:editId="06E3B02A">
            <wp:extent cx="5943600" cy="4468702"/>
            <wp:effectExtent l="0" t="0" r="0" b="1905"/>
            <wp:docPr id="11" name="Picture 11" descr="A picture containing screenshot, text, diagram,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screenshot, text, diagram, rectangl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4468702"/>
                    </a:xfrm>
                    <a:prstGeom prst="rect">
                      <a:avLst/>
                    </a:prstGeom>
                  </pic:spPr>
                </pic:pic>
              </a:graphicData>
            </a:graphic>
          </wp:inline>
        </w:drawing>
      </w:r>
    </w:p>
    <w:p w14:paraId="035E6F9D" w14:textId="2BE3D244" w:rsidR="00B95028" w:rsidRPr="00B24BE4" w:rsidRDefault="004E6291" w:rsidP="004E6291">
      <w:pPr>
        <w:pStyle w:val="Caption"/>
        <w:rPr>
          <w:rFonts w:ascii="Times New Roman" w:hAnsi="Times New Roman" w:cs="Times New Roman"/>
          <w:b w:val="0"/>
          <w:bCs w:val="0"/>
        </w:rPr>
      </w:pPr>
      <w:bookmarkStart w:id="209" w:name="_Toc164849261"/>
      <w:r w:rsidRPr="00B24BE4">
        <w:rPr>
          <w:rFonts w:ascii="Times New Roman" w:hAnsi="Times New Roman" w:cs="Times New Roman"/>
          <w:b w:val="0"/>
          <w:bCs w:val="0"/>
        </w:rPr>
        <w:t>Figure A</w:t>
      </w:r>
      <w:r w:rsidRPr="00B24BE4">
        <w:rPr>
          <w:rFonts w:ascii="Times New Roman" w:hAnsi="Times New Roman" w:cs="Times New Roman"/>
          <w:b w:val="0"/>
          <w:bCs w:val="0"/>
        </w:rPr>
        <w:fldChar w:fldCharType="begin"/>
      </w:r>
      <w:r w:rsidRPr="00B24BE4">
        <w:rPr>
          <w:rFonts w:ascii="Times New Roman" w:hAnsi="Times New Roman" w:cs="Times New Roman"/>
          <w:b w:val="0"/>
          <w:bCs w:val="0"/>
        </w:rPr>
        <w:instrText xml:space="preserve"> SEQ Figure_A \* ARABIC </w:instrText>
      </w:r>
      <w:r w:rsidRPr="00B24BE4">
        <w:rPr>
          <w:rFonts w:ascii="Times New Roman" w:hAnsi="Times New Roman" w:cs="Times New Roman"/>
          <w:b w:val="0"/>
          <w:bCs w:val="0"/>
        </w:rPr>
        <w:fldChar w:fldCharType="separate"/>
      </w:r>
      <w:r w:rsidR="001648DD">
        <w:rPr>
          <w:rFonts w:ascii="Times New Roman" w:hAnsi="Times New Roman" w:cs="Times New Roman"/>
          <w:b w:val="0"/>
          <w:bCs w:val="0"/>
          <w:noProof/>
        </w:rPr>
        <w:t>13</w:t>
      </w:r>
      <w:r w:rsidRPr="00B24BE4">
        <w:rPr>
          <w:rFonts w:ascii="Times New Roman" w:hAnsi="Times New Roman" w:cs="Times New Roman"/>
          <w:b w:val="0"/>
          <w:bCs w:val="0"/>
        </w:rPr>
        <w:fldChar w:fldCharType="end"/>
      </w:r>
      <w:r w:rsidRPr="00B24BE4">
        <w:rPr>
          <w:rFonts w:ascii="Times New Roman" w:hAnsi="Times New Roman" w:cs="Times New Roman"/>
          <w:b w:val="0"/>
          <w:bCs w:val="0"/>
        </w:rPr>
        <w:t>: Heatmap of relative abundance of temporal core OTUs at each site.</w:t>
      </w:r>
      <w:bookmarkEnd w:id="209"/>
    </w:p>
    <w:p w14:paraId="725F3F43" w14:textId="7C76ECAD" w:rsidR="00B95028" w:rsidRPr="00246351" w:rsidRDefault="002609CD">
      <w:r>
        <w:br w:type="page"/>
      </w:r>
    </w:p>
    <w:p w14:paraId="50ECF0E7" w14:textId="570E1B7A" w:rsidR="00122B3E" w:rsidRPr="00122B3E" w:rsidRDefault="00122B3E" w:rsidP="00122B3E">
      <w:pPr>
        <w:pStyle w:val="Caption"/>
        <w:rPr>
          <w:rFonts w:ascii="Times New Roman" w:hAnsi="Times New Roman" w:cs="Times New Roman"/>
          <w:b w:val="0"/>
          <w:bCs w:val="0"/>
        </w:rPr>
      </w:pPr>
      <w:bookmarkStart w:id="210" w:name="_Toc165029041"/>
      <w:bookmarkStart w:id="211" w:name="_Toc165029359"/>
      <w:r w:rsidRPr="00122B3E">
        <w:rPr>
          <w:rFonts w:ascii="Times New Roman" w:hAnsi="Times New Roman" w:cs="Times New Roman"/>
          <w:b w:val="0"/>
          <w:bCs w:val="0"/>
        </w:rPr>
        <w:lastRenderedPageBreak/>
        <w:t>Table A</w:t>
      </w:r>
      <w:r w:rsidRPr="00122B3E">
        <w:rPr>
          <w:rFonts w:ascii="Times New Roman" w:hAnsi="Times New Roman" w:cs="Times New Roman"/>
          <w:b w:val="0"/>
          <w:bCs w:val="0"/>
        </w:rPr>
        <w:fldChar w:fldCharType="begin"/>
      </w:r>
      <w:r w:rsidRPr="00122B3E">
        <w:rPr>
          <w:rFonts w:ascii="Times New Roman" w:hAnsi="Times New Roman" w:cs="Times New Roman"/>
          <w:b w:val="0"/>
          <w:bCs w:val="0"/>
        </w:rPr>
        <w:instrText xml:space="preserve"> SEQ Table_A \* ARABIC </w:instrText>
      </w:r>
      <w:r w:rsidRPr="00122B3E">
        <w:rPr>
          <w:rFonts w:ascii="Times New Roman" w:hAnsi="Times New Roman" w:cs="Times New Roman"/>
          <w:b w:val="0"/>
          <w:bCs w:val="0"/>
        </w:rPr>
        <w:fldChar w:fldCharType="separate"/>
      </w:r>
      <w:r w:rsidR="001648DD">
        <w:rPr>
          <w:rFonts w:ascii="Times New Roman" w:hAnsi="Times New Roman" w:cs="Times New Roman"/>
          <w:b w:val="0"/>
          <w:bCs w:val="0"/>
          <w:noProof/>
        </w:rPr>
        <w:t>4</w:t>
      </w:r>
      <w:r w:rsidRPr="00122B3E">
        <w:rPr>
          <w:rFonts w:ascii="Times New Roman" w:hAnsi="Times New Roman" w:cs="Times New Roman"/>
          <w:b w:val="0"/>
          <w:bCs w:val="0"/>
        </w:rPr>
        <w:fldChar w:fldCharType="end"/>
      </w:r>
      <w:r w:rsidRPr="00122B3E">
        <w:rPr>
          <w:rFonts w:ascii="Times New Roman" w:hAnsi="Times New Roman" w:cs="Times New Roman"/>
          <w:b w:val="0"/>
          <w:bCs w:val="0"/>
        </w:rPr>
        <w:t>: OTUs associated with anti-fungal capabilities and the detection on salamanders</w:t>
      </w:r>
      <w:r>
        <w:rPr>
          <w:rFonts w:ascii="Times New Roman" w:hAnsi="Times New Roman" w:cs="Times New Roman"/>
          <w:b w:val="0"/>
          <w:bCs w:val="0"/>
        </w:rPr>
        <w:t>.</w:t>
      </w:r>
      <w:bookmarkEnd w:id="210"/>
      <w:bookmarkEnd w:id="211"/>
    </w:p>
    <w:tbl>
      <w:tblPr>
        <w:tblW w:w="7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02"/>
        <w:gridCol w:w="2030"/>
        <w:gridCol w:w="1530"/>
      </w:tblGrid>
      <w:tr w:rsidR="002609CD" w:rsidRPr="00967C16" w14:paraId="6661E3DE" w14:textId="77777777" w:rsidTr="00122B3E">
        <w:trPr>
          <w:trHeight w:val="320"/>
          <w:jc w:val="center"/>
        </w:trPr>
        <w:tc>
          <w:tcPr>
            <w:tcW w:w="2043" w:type="dxa"/>
            <w:shd w:val="clear" w:color="auto" w:fill="BFBFBF" w:themeFill="background1" w:themeFillShade="BF"/>
            <w:noWrap/>
            <w:vAlign w:val="center"/>
            <w:hideMark/>
          </w:tcPr>
          <w:p w14:paraId="2DDA18EF" w14:textId="77777777" w:rsidR="002609CD" w:rsidRPr="00967C16" w:rsidRDefault="002609CD" w:rsidP="00F24AAD">
            <w:pPr>
              <w:jc w:val="center"/>
              <w:rPr>
                <w:rFonts w:ascii="Times New Roman" w:hAnsi="Times New Roman" w:cs="Times New Roman"/>
                <w:b/>
                <w:bCs/>
                <w:color w:val="000000"/>
                <w:sz w:val="22"/>
                <w:szCs w:val="22"/>
              </w:rPr>
            </w:pPr>
            <w:r w:rsidRPr="00967C16">
              <w:rPr>
                <w:rFonts w:ascii="Times New Roman" w:hAnsi="Times New Roman" w:cs="Times New Roman"/>
                <w:b/>
                <w:bCs/>
                <w:color w:val="000000"/>
                <w:sz w:val="22"/>
                <w:szCs w:val="22"/>
              </w:rPr>
              <w:t>Order</w:t>
            </w:r>
          </w:p>
        </w:tc>
        <w:tc>
          <w:tcPr>
            <w:tcW w:w="2202" w:type="dxa"/>
            <w:shd w:val="clear" w:color="auto" w:fill="BFBFBF" w:themeFill="background1" w:themeFillShade="BF"/>
            <w:noWrap/>
            <w:vAlign w:val="center"/>
            <w:hideMark/>
          </w:tcPr>
          <w:p w14:paraId="22FB66B6" w14:textId="77777777" w:rsidR="002609CD" w:rsidRPr="00967C16" w:rsidRDefault="002609CD" w:rsidP="00F24AAD">
            <w:pPr>
              <w:jc w:val="center"/>
              <w:rPr>
                <w:rFonts w:ascii="Times New Roman" w:hAnsi="Times New Roman" w:cs="Times New Roman"/>
                <w:b/>
                <w:bCs/>
                <w:color w:val="000000"/>
                <w:sz w:val="22"/>
                <w:szCs w:val="22"/>
              </w:rPr>
            </w:pPr>
            <w:r w:rsidRPr="00967C16">
              <w:rPr>
                <w:rFonts w:ascii="Times New Roman" w:hAnsi="Times New Roman" w:cs="Times New Roman"/>
                <w:b/>
                <w:bCs/>
                <w:color w:val="000000"/>
                <w:sz w:val="22"/>
                <w:szCs w:val="22"/>
              </w:rPr>
              <w:t>Family</w:t>
            </w:r>
          </w:p>
        </w:tc>
        <w:tc>
          <w:tcPr>
            <w:tcW w:w="2030" w:type="dxa"/>
            <w:shd w:val="clear" w:color="auto" w:fill="BFBFBF" w:themeFill="background1" w:themeFillShade="BF"/>
            <w:noWrap/>
            <w:vAlign w:val="center"/>
            <w:hideMark/>
          </w:tcPr>
          <w:p w14:paraId="21A01E73" w14:textId="77777777" w:rsidR="002609CD" w:rsidRPr="00967C16" w:rsidRDefault="002609CD" w:rsidP="00F24AAD">
            <w:pPr>
              <w:jc w:val="center"/>
              <w:rPr>
                <w:rFonts w:ascii="Times New Roman" w:hAnsi="Times New Roman" w:cs="Times New Roman"/>
                <w:b/>
                <w:bCs/>
                <w:color w:val="000000"/>
                <w:sz w:val="22"/>
                <w:szCs w:val="22"/>
              </w:rPr>
            </w:pPr>
            <w:r w:rsidRPr="00967C16">
              <w:rPr>
                <w:rFonts w:ascii="Times New Roman" w:hAnsi="Times New Roman" w:cs="Times New Roman"/>
                <w:b/>
                <w:bCs/>
                <w:color w:val="000000"/>
                <w:sz w:val="22"/>
                <w:szCs w:val="22"/>
              </w:rPr>
              <w:t>Genus</w:t>
            </w:r>
          </w:p>
        </w:tc>
        <w:tc>
          <w:tcPr>
            <w:tcW w:w="1530" w:type="dxa"/>
            <w:shd w:val="clear" w:color="auto" w:fill="BFBFBF" w:themeFill="background1" w:themeFillShade="BF"/>
            <w:noWrap/>
            <w:vAlign w:val="center"/>
            <w:hideMark/>
          </w:tcPr>
          <w:p w14:paraId="16BCDC73" w14:textId="22E879A7" w:rsidR="002609CD" w:rsidRPr="00967C16" w:rsidRDefault="002609CD" w:rsidP="00F24AAD">
            <w:pPr>
              <w:jc w:val="center"/>
              <w:rPr>
                <w:rFonts w:ascii="Times New Roman" w:hAnsi="Times New Roman" w:cs="Times New Roman"/>
                <w:b/>
                <w:bCs/>
                <w:color w:val="000000"/>
                <w:sz w:val="22"/>
                <w:szCs w:val="22"/>
              </w:rPr>
            </w:pPr>
            <w:r w:rsidRPr="00967C16">
              <w:rPr>
                <w:rFonts w:ascii="Times New Roman" w:hAnsi="Times New Roman" w:cs="Times New Roman"/>
                <w:b/>
                <w:bCs/>
                <w:color w:val="000000"/>
                <w:sz w:val="22"/>
                <w:szCs w:val="22"/>
              </w:rPr>
              <w:t>Proportion</w:t>
            </w:r>
            <w:r w:rsidR="00F24AAD" w:rsidRPr="00967C16">
              <w:rPr>
                <w:rFonts w:ascii="Times New Roman" w:hAnsi="Times New Roman" w:cs="Times New Roman"/>
                <w:b/>
                <w:bCs/>
                <w:color w:val="000000"/>
                <w:sz w:val="22"/>
                <w:szCs w:val="22"/>
              </w:rPr>
              <w:t xml:space="preserve"> Detected on Hosts</w:t>
            </w:r>
          </w:p>
        </w:tc>
      </w:tr>
      <w:tr w:rsidR="00967C16" w:rsidRPr="00967C16" w14:paraId="2C9D935B" w14:textId="77777777" w:rsidTr="00122B3E">
        <w:trPr>
          <w:trHeight w:val="320"/>
          <w:jc w:val="center"/>
        </w:trPr>
        <w:tc>
          <w:tcPr>
            <w:tcW w:w="2043" w:type="dxa"/>
            <w:shd w:val="clear" w:color="auto" w:fill="auto"/>
            <w:noWrap/>
            <w:vAlign w:val="bottom"/>
            <w:hideMark/>
          </w:tcPr>
          <w:p w14:paraId="5BA94155" w14:textId="5BC9A21B"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auto"/>
            <w:noWrap/>
            <w:vAlign w:val="bottom"/>
            <w:hideMark/>
          </w:tcPr>
          <w:p w14:paraId="073C5331" w14:textId="4113D3BD"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Pseudomonadaceae</w:t>
            </w:r>
          </w:p>
        </w:tc>
        <w:tc>
          <w:tcPr>
            <w:tcW w:w="2030" w:type="dxa"/>
            <w:shd w:val="clear" w:color="auto" w:fill="auto"/>
            <w:noWrap/>
            <w:vAlign w:val="bottom"/>
            <w:hideMark/>
          </w:tcPr>
          <w:p w14:paraId="30503533" w14:textId="40252DF4"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Pseudomonas</w:t>
            </w:r>
          </w:p>
        </w:tc>
        <w:tc>
          <w:tcPr>
            <w:tcW w:w="1530" w:type="dxa"/>
            <w:shd w:val="clear" w:color="auto" w:fill="auto"/>
            <w:noWrap/>
            <w:vAlign w:val="bottom"/>
            <w:hideMark/>
          </w:tcPr>
          <w:p w14:paraId="1015BA6D"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1</w:t>
            </w:r>
          </w:p>
        </w:tc>
      </w:tr>
      <w:tr w:rsidR="00967C16" w:rsidRPr="00967C16" w14:paraId="3302B715" w14:textId="77777777" w:rsidTr="00122B3E">
        <w:trPr>
          <w:trHeight w:val="320"/>
          <w:jc w:val="center"/>
        </w:trPr>
        <w:tc>
          <w:tcPr>
            <w:tcW w:w="2043" w:type="dxa"/>
            <w:shd w:val="clear" w:color="auto" w:fill="F2F2F2" w:themeFill="background1" w:themeFillShade="F2"/>
            <w:noWrap/>
            <w:vAlign w:val="bottom"/>
            <w:hideMark/>
          </w:tcPr>
          <w:p w14:paraId="6CE8BB0D" w14:textId="347474A4"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Rhizobiales</w:t>
            </w:r>
            <w:proofErr w:type="spellEnd"/>
          </w:p>
        </w:tc>
        <w:tc>
          <w:tcPr>
            <w:tcW w:w="2202" w:type="dxa"/>
            <w:shd w:val="clear" w:color="auto" w:fill="F2F2F2" w:themeFill="background1" w:themeFillShade="F2"/>
            <w:noWrap/>
            <w:vAlign w:val="bottom"/>
            <w:hideMark/>
          </w:tcPr>
          <w:p w14:paraId="375CD616" w14:textId="396F9922"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Rhizobiaceae</w:t>
            </w:r>
            <w:proofErr w:type="spellEnd"/>
          </w:p>
        </w:tc>
        <w:tc>
          <w:tcPr>
            <w:tcW w:w="2030" w:type="dxa"/>
            <w:shd w:val="clear" w:color="auto" w:fill="F2F2F2" w:themeFill="background1" w:themeFillShade="F2"/>
            <w:noWrap/>
            <w:vAlign w:val="bottom"/>
            <w:hideMark/>
          </w:tcPr>
          <w:p w14:paraId="7F8DE746" w14:textId="3BC90F1D"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Rhizobium</w:t>
            </w:r>
          </w:p>
        </w:tc>
        <w:tc>
          <w:tcPr>
            <w:tcW w:w="1530" w:type="dxa"/>
            <w:shd w:val="clear" w:color="auto" w:fill="F2F2F2" w:themeFill="background1" w:themeFillShade="F2"/>
            <w:noWrap/>
            <w:vAlign w:val="bottom"/>
            <w:hideMark/>
          </w:tcPr>
          <w:p w14:paraId="01EE6E1B"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1</w:t>
            </w:r>
          </w:p>
        </w:tc>
      </w:tr>
      <w:tr w:rsidR="00967C16" w:rsidRPr="00967C16" w14:paraId="3223565D" w14:textId="77777777" w:rsidTr="00122B3E">
        <w:trPr>
          <w:trHeight w:val="320"/>
          <w:jc w:val="center"/>
        </w:trPr>
        <w:tc>
          <w:tcPr>
            <w:tcW w:w="2043" w:type="dxa"/>
            <w:shd w:val="clear" w:color="auto" w:fill="auto"/>
            <w:noWrap/>
            <w:vAlign w:val="bottom"/>
            <w:hideMark/>
          </w:tcPr>
          <w:p w14:paraId="67DCCC91" w14:textId="10629DCA"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Xanthomonadales</w:t>
            </w:r>
            <w:proofErr w:type="spellEnd"/>
          </w:p>
        </w:tc>
        <w:tc>
          <w:tcPr>
            <w:tcW w:w="2202" w:type="dxa"/>
            <w:shd w:val="clear" w:color="auto" w:fill="auto"/>
            <w:noWrap/>
            <w:vAlign w:val="bottom"/>
            <w:hideMark/>
          </w:tcPr>
          <w:p w14:paraId="1CA0CB31" w14:textId="2C0F42A5"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Xanthomonadaceae</w:t>
            </w:r>
            <w:proofErr w:type="spellEnd"/>
          </w:p>
        </w:tc>
        <w:tc>
          <w:tcPr>
            <w:tcW w:w="2030" w:type="dxa"/>
            <w:shd w:val="clear" w:color="auto" w:fill="auto"/>
            <w:noWrap/>
            <w:vAlign w:val="bottom"/>
            <w:hideMark/>
          </w:tcPr>
          <w:p w14:paraId="5F9FDB95" w14:textId="20503D45"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Stenotrophomonas</w:t>
            </w:r>
          </w:p>
        </w:tc>
        <w:tc>
          <w:tcPr>
            <w:tcW w:w="1530" w:type="dxa"/>
            <w:shd w:val="clear" w:color="auto" w:fill="auto"/>
            <w:noWrap/>
            <w:vAlign w:val="bottom"/>
            <w:hideMark/>
          </w:tcPr>
          <w:p w14:paraId="12B7D998"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1</w:t>
            </w:r>
          </w:p>
        </w:tc>
      </w:tr>
      <w:tr w:rsidR="00967C16" w:rsidRPr="00967C16" w14:paraId="4BB73E60" w14:textId="77777777" w:rsidTr="00122B3E">
        <w:trPr>
          <w:trHeight w:val="320"/>
          <w:jc w:val="center"/>
        </w:trPr>
        <w:tc>
          <w:tcPr>
            <w:tcW w:w="2043" w:type="dxa"/>
            <w:shd w:val="clear" w:color="auto" w:fill="F2F2F2" w:themeFill="background1" w:themeFillShade="F2"/>
            <w:noWrap/>
            <w:vAlign w:val="bottom"/>
            <w:hideMark/>
          </w:tcPr>
          <w:p w14:paraId="0BAD59E7" w14:textId="7DABE5AA"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Burkholderiales</w:t>
            </w:r>
            <w:proofErr w:type="spellEnd"/>
          </w:p>
        </w:tc>
        <w:tc>
          <w:tcPr>
            <w:tcW w:w="2202" w:type="dxa"/>
            <w:shd w:val="clear" w:color="auto" w:fill="F2F2F2" w:themeFill="background1" w:themeFillShade="F2"/>
            <w:noWrap/>
            <w:vAlign w:val="bottom"/>
            <w:hideMark/>
          </w:tcPr>
          <w:p w14:paraId="145EBC20" w14:textId="1BC50127"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Oxalobacteraceae</w:t>
            </w:r>
            <w:proofErr w:type="spellEnd"/>
          </w:p>
        </w:tc>
        <w:tc>
          <w:tcPr>
            <w:tcW w:w="2030" w:type="dxa"/>
            <w:shd w:val="clear" w:color="auto" w:fill="F2F2F2" w:themeFill="background1" w:themeFillShade="F2"/>
            <w:noWrap/>
            <w:vAlign w:val="bottom"/>
            <w:hideMark/>
          </w:tcPr>
          <w:p w14:paraId="1163DCDD" w14:textId="32C05327"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Janthinobacterium</w:t>
            </w:r>
            <w:proofErr w:type="spellEnd"/>
          </w:p>
        </w:tc>
        <w:tc>
          <w:tcPr>
            <w:tcW w:w="1530" w:type="dxa"/>
            <w:shd w:val="clear" w:color="auto" w:fill="F2F2F2" w:themeFill="background1" w:themeFillShade="F2"/>
            <w:noWrap/>
            <w:vAlign w:val="bottom"/>
            <w:hideMark/>
          </w:tcPr>
          <w:p w14:paraId="3F1CB778"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0.85</w:t>
            </w:r>
          </w:p>
        </w:tc>
      </w:tr>
      <w:tr w:rsidR="00967C16" w:rsidRPr="00967C16" w14:paraId="4F7F779F" w14:textId="77777777" w:rsidTr="00122B3E">
        <w:trPr>
          <w:trHeight w:val="320"/>
          <w:jc w:val="center"/>
        </w:trPr>
        <w:tc>
          <w:tcPr>
            <w:tcW w:w="2043" w:type="dxa"/>
            <w:shd w:val="clear" w:color="auto" w:fill="auto"/>
            <w:noWrap/>
            <w:vAlign w:val="bottom"/>
            <w:hideMark/>
          </w:tcPr>
          <w:p w14:paraId="7CABF75F" w14:textId="7AB43196"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Rhizobiales</w:t>
            </w:r>
            <w:proofErr w:type="spellEnd"/>
          </w:p>
        </w:tc>
        <w:tc>
          <w:tcPr>
            <w:tcW w:w="2202" w:type="dxa"/>
            <w:shd w:val="clear" w:color="auto" w:fill="auto"/>
            <w:noWrap/>
            <w:vAlign w:val="bottom"/>
            <w:hideMark/>
          </w:tcPr>
          <w:p w14:paraId="6C3E04E6" w14:textId="26D76B8E"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Rhizobiaceae</w:t>
            </w:r>
            <w:proofErr w:type="spellEnd"/>
          </w:p>
        </w:tc>
        <w:tc>
          <w:tcPr>
            <w:tcW w:w="2030" w:type="dxa"/>
            <w:shd w:val="clear" w:color="auto" w:fill="auto"/>
            <w:noWrap/>
            <w:vAlign w:val="bottom"/>
            <w:hideMark/>
          </w:tcPr>
          <w:p w14:paraId="224EE278" w14:textId="62D9464E"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Rhizobium</w:t>
            </w:r>
          </w:p>
        </w:tc>
        <w:tc>
          <w:tcPr>
            <w:tcW w:w="1530" w:type="dxa"/>
            <w:shd w:val="clear" w:color="auto" w:fill="auto"/>
            <w:noWrap/>
            <w:vAlign w:val="bottom"/>
            <w:hideMark/>
          </w:tcPr>
          <w:p w14:paraId="4752D342"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0.76</w:t>
            </w:r>
          </w:p>
        </w:tc>
      </w:tr>
      <w:tr w:rsidR="00967C16" w:rsidRPr="00967C16" w14:paraId="0B1B176E" w14:textId="77777777" w:rsidTr="00122B3E">
        <w:trPr>
          <w:trHeight w:val="320"/>
          <w:jc w:val="center"/>
        </w:trPr>
        <w:tc>
          <w:tcPr>
            <w:tcW w:w="2043" w:type="dxa"/>
            <w:shd w:val="clear" w:color="auto" w:fill="F2F2F2" w:themeFill="background1" w:themeFillShade="F2"/>
            <w:noWrap/>
            <w:vAlign w:val="bottom"/>
            <w:hideMark/>
          </w:tcPr>
          <w:p w14:paraId="3A41D487" w14:textId="5B2C351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F2F2F2" w:themeFill="background1" w:themeFillShade="F2"/>
            <w:noWrap/>
            <w:vAlign w:val="bottom"/>
            <w:hideMark/>
          </w:tcPr>
          <w:p w14:paraId="0A831E95" w14:textId="7AB1AC5E"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Pseudomonadaceae</w:t>
            </w:r>
          </w:p>
        </w:tc>
        <w:tc>
          <w:tcPr>
            <w:tcW w:w="2030" w:type="dxa"/>
            <w:shd w:val="clear" w:color="auto" w:fill="F2F2F2" w:themeFill="background1" w:themeFillShade="F2"/>
            <w:noWrap/>
            <w:vAlign w:val="bottom"/>
            <w:hideMark/>
          </w:tcPr>
          <w:p w14:paraId="6338DDF1" w14:textId="4B9DBBE1"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Pseudomonas</w:t>
            </w:r>
          </w:p>
        </w:tc>
        <w:tc>
          <w:tcPr>
            <w:tcW w:w="1530" w:type="dxa"/>
            <w:shd w:val="clear" w:color="auto" w:fill="F2F2F2" w:themeFill="background1" w:themeFillShade="F2"/>
            <w:noWrap/>
            <w:vAlign w:val="bottom"/>
            <w:hideMark/>
          </w:tcPr>
          <w:p w14:paraId="17A76003"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0.74</w:t>
            </w:r>
          </w:p>
        </w:tc>
      </w:tr>
      <w:tr w:rsidR="00967C16" w:rsidRPr="00967C16" w14:paraId="595E5F28" w14:textId="77777777" w:rsidTr="00122B3E">
        <w:trPr>
          <w:trHeight w:val="320"/>
          <w:jc w:val="center"/>
        </w:trPr>
        <w:tc>
          <w:tcPr>
            <w:tcW w:w="2043" w:type="dxa"/>
            <w:shd w:val="clear" w:color="auto" w:fill="auto"/>
            <w:noWrap/>
            <w:vAlign w:val="bottom"/>
            <w:hideMark/>
          </w:tcPr>
          <w:p w14:paraId="28F7D31F" w14:textId="3932F9B1"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Sphingobacteriales</w:t>
            </w:r>
            <w:proofErr w:type="spellEnd"/>
          </w:p>
        </w:tc>
        <w:tc>
          <w:tcPr>
            <w:tcW w:w="2202" w:type="dxa"/>
            <w:shd w:val="clear" w:color="auto" w:fill="auto"/>
            <w:noWrap/>
            <w:vAlign w:val="bottom"/>
            <w:hideMark/>
          </w:tcPr>
          <w:p w14:paraId="466B220E" w14:textId="214FA534"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Sphingobacteriaceae</w:t>
            </w:r>
            <w:proofErr w:type="spellEnd"/>
          </w:p>
        </w:tc>
        <w:tc>
          <w:tcPr>
            <w:tcW w:w="2030" w:type="dxa"/>
            <w:shd w:val="clear" w:color="auto" w:fill="auto"/>
            <w:noWrap/>
            <w:vAlign w:val="bottom"/>
            <w:hideMark/>
          </w:tcPr>
          <w:p w14:paraId="17064C1B" w14:textId="0C85F038"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Pedobacter</w:t>
            </w:r>
            <w:proofErr w:type="spellEnd"/>
          </w:p>
        </w:tc>
        <w:tc>
          <w:tcPr>
            <w:tcW w:w="1530" w:type="dxa"/>
            <w:shd w:val="clear" w:color="auto" w:fill="auto"/>
            <w:noWrap/>
            <w:vAlign w:val="bottom"/>
            <w:hideMark/>
          </w:tcPr>
          <w:p w14:paraId="67A25331"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0.68</w:t>
            </w:r>
          </w:p>
        </w:tc>
      </w:tr>
      <w:tr w:rsidR="00967C16" w:rsidRPr="00967C16" w14:paraId="0D96A798" w14:textId="77777777" w:rsidTr="00122B3E">
        <w:trPr>
          <w:trHeight w:val="320"/>
          <w:jc w:val="center"/>
        </w:trPr>
        <w:tc>
          <w:tcPr>
            <w:tcW w:w="2043" w:type="dxa"/>
            <w:shd w:val="clear" w:color="auto" w:fill="F2F2F2" w:themeFill="background1" w:themeFillShade="F2"/>
            <w:noWrap/>
            <w:vAlign w:val="bottom"/>
            <w:hideMark/>
          </w:tcPr>
          <w:p w14:paraId="78A33620" w14:textId="5BA1891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Enterobacteriales</w:t>
            </w:r>
            <w:proofErr w:type="spellEnd"/>
          </w:p>
        </w:tc>
        <w:tc>
          <w:tcPr>
            <w:tcW w:w="2202" w:type="dxa"/>
            <w:shd w:val="clear" w:color="auto" w:fill="F2F2F2" w:themeFill="background1" w:themeFillShade="F2"/>
            <w:noWrap/>
            <w:vAlign w:val="bottom"/>
            <w:hideMark/>
          </w:tcPr>
          <w:p w14:paraId="28605872" w14:textId="1E9E855C"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Enterobacteriaceae</w:t>
            </w:r>
          </w:p>
        </w:tc>
        <w:tc>
          <w:tcPr>
            <w:tcW w:w="2030" w:type="dxa"/>
            <w:shd w:val="clear" w:color="auto" w:fill="F2F2F2" w:themeFill="background1" w:themeFillShade="F2"/>
            <w:noWrap/>
            <w:vAlign w:val="bottom"/>
            <w:hideMark/>
          </w:tcPr>
          <w:p w14:paraId="132DD9C5" w14:textId="30F1B5D0"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Bacteria</w:t>
            </w:r>
          </w:p>
        </w:tc>
        <w:tc>
          <w:tcPr>
            <w:tcW w:w="1530" w:type="dxa"/>
            <w:shd w:val="clear" w:color="auto" w:fill="F2F2F2" w:themeFill="background1" w:themeFillShade="F2"/>
            <w:noWrap/>
            <w:vAlign w:val="bottom"/>
            <w:hideMark/>
          </w:tcPr>
          <w:p w14:paraId="61081190"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0.62</w:t>
            </w:r>
          </w:p>
        </w:tc>
      </w:tr>
      <w:tr w:rsidR="00967C16" w:rsidRPr="00967C16" w14:paraId="5C4F78B1" w14:textId="77777777" w:rsidTr="00122B3E">
        <w:trPr>
          <w:trHeight w:val="320"/>
          <w:jc w:val="center"/>
        </w:trPr>
        <w:tc>
          <w:tcPr>
            <w:tcW w:w="2043" w:type="dxa"/>
            <w:shd w:val="clear" w:color="auto" w:fill="auto"/>
            <w:noWrap/>
            <w:vAlign w:val="bottom"/>
            <w:hideMark/>
          </w:tcPr>
          <w:p w14:paraId="3861D359" w14:textId="6C63048E"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Actinomycetales</w:t>
            </w:r>
            <w:proofErr w:type="spellEnd"/>
          </w:p>
        </w:tc>
        <w:tc>
          <w:tcPr>
            <w:tcW w:w="2202" w:type="dxa"/>
            <w:shd w:val="clear" w:color="auto" w:fill="auto"/>
            <w:noWrap/>
            <w:vAlign w:val="bottom"/>
            <w:hideMark/>
          </w:tcPr>
          <w:p w14:paraId="1BF5BD06" w14:textId="3BD29207"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Streptomycetaceae</w:t>
            </w:r>
            <w:proofErr w:type="spellEnd"/>
          </w:p>
        </w:tc>
        <w:tc>
          <w:tcPr>
            <w:tcW w:w="2030" w:type="dxa"/>
            <w:shd w:val="clear" w:color="auto" w:fill="auto"/>
            <w:noWrap/>
            <w:vAlign w:val="bottom"/>
            <w:hideMark/>
          </w:tcPr>
          <w:p w14:paraId="3D6151CB" w14:textId="5BB84DC8"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Streptomyces</w:t>
            </w:r>
          </w:p>
        </w:tc>
        <w:tc>
          <w:tcPr>
            <w:tcW w:w="1530" w:type="dxa"/>
            <w:shd w:val="clear" w:color="auto" w:fill="auto"/>
            <w:noWrap/>
            <w:vAlign w:val="bottom"/>
            <w:hideMark/>
          </w:tcPr>
          <w:p w14:paraId="598B9E94"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0.53</w:t>
            </w:r>
          </w:p>
        </w:tc>
      </w:tr>
      <w:tr w:rsidR="00967C16" w:rsidRPr="00967C16" w14:paraId="5CE78BBD" w14:textId="77777777" w:rsidTr="00122B3E">
        <w:trPr>
          <w:trHeight w:val="320"/>
          <w:jc w:val="center"/>
        </w:trPr>
        <w:tc>
          <w:tcPr>
            <w:tcW w:w="2043" w:type="dxa"/>
            <w:shd w:val="clear" w:color="auto" w:fill="F2F2F2" w:themeFill="background1" w:themeFillShade="F2"/>
            <w:noWrap/>
            <w:vAlign w:val="bottom"/>
            <w:hideMark/>
          </w:tcPr>
          <w:p w14:paraId="02774265" w14:textId="5CE8F2FD"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Enterobacteriales</w:t>
            </w:r>
            <w:proofErr w:type="spellEnd"/>
          </w:p>
        </w:tc>
        <w:tc>
          <w:tcPr>
            <w:tcW w:w="2202" w:type="dxa"/>
            <w:shd w:val="clear" w:color="auto" w:fill="F2F2F2" w:themeFill="background1" w:themeFillShade="F2"/>
            <w:noWrap/>
            <w:vAlign w:val="bottom"/>
            <w:hideMark/>
          </w:tcPr>
          <w:p w14:paraId="343AD5B6" w14:textId="01FF8636"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Enterobacteriaceae</w:t>
            </w:r>
          </w:p>
        </w:tc>
        <w:tc>
          <w:tcPr>
            <w:tcW w:w="2030" w:type="dxa"/>
            <w:shd w:val="clear" w:color="auto" w:fill="F2F2F2" w:themeFill="background1" w:themeFillShade="F2"/>
            <w:noWrap/>
            <w:vAlign w:val="bottom"/>
            <w:hideMark/>
          </w:tcPr>
          <w:p w14:paraId="502589B9" w14:textId="3674403E"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Enterobacter</w:t>
            </w:r>
          </w:p>
        </w:tc>
        <w:tc>
          <w:tcPr>
            <w:tcW w:w="1530" w:type="dxa"/>
            <w:shd w:val="clear" w:color="auto" w:fill="F2F2F2" w:themeFill="background1" w:themeFillShade="F2"/>
            <w:noWrap/>
            <w:vAlign w:val="bottom"/>
            <w:hideMark/>
          </w:tcPr>
          <w:p w14:paraId="4B21708C"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0.50</w:t>
            </w:r>
          </w:p>
        </w:tc>
      </w:tr>
      <w:tr w:rsidR="00967C16" w:rsidRPr="00967C16" w14:paraId="20E0DC1E" w14:textId="77777777" w:rsidTr="00122B3E">
        <w:trPr>
          <w:trHeight w:val="320"/>
          <w:jc w:val="center"/>
        </w:trPr>
        <w:tc>
          <w:tcPr>
            <w:tcW w:w="2043" w:type="dxa"/>
            <w:shd w:val="clear" w:color="auto" w:fill="auto"/>
            <w:noWrap/>
            <w:vAlign w:val="bottom"/>
            <w:hideMark/>
          </w:tcPr>
          <w:p w14:paraId="32FBC624" w14:textId="0F493DDE"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Actinomycetales</w:t>
            </w:r>
            <w:proofErr w:type="spellEnd"/>
          </w:p>
        </w:tc>
        <w:tc>
          <w:tcPr>
            <w:tcW w:w="2202" w:type="dxa"/>
            <w:shd w:val="clear" w:color="auto" w:fill="auto"/>
            <w:noWrap/>
            <w:vAlign w:val="bottom"/>
            <w:hideMark/>
          </w:tcPr>
          <w:p w14:paraId="7FED1E27" w14:textId="62F37C3C"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Nocardioidaceae</w:t>
            </w:r>
            <w:proofErr w:type="spellEnd"/>
          </w:p>
        </w:tc>
        <w:tc>
          <w:tcPr>
            <w:tcW w:w="2030" w:type="dxa"/>
            <w:shd w:val="clear" w:color="auto" w:fill="auto"/>
            <w:noWrap/>
            <w:vAlign w:val="bottom"/>
            <w:hideMark/>
          </w:tcPr>
          <w:p w14:paraId="46AABE85" w14:textId="2B292E2F"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Aeromicrobium</w:t>
            </w:r>
            <w:proofErr w:type="spellEnd"/>
          </w:p>
        </w:tc>
        <w:tc>
          <w:tcPr>
            <w:tcW w:w="1530" w:type="dxa"/>
            <w:shd w:val="clear" w:color="auto" w:fill="auto"/>
            <w:noWrap/>
            <w:vAlign w:val="bottom"/>
            <w:hideMark/>
          </w:tcPr>
          <w:p w14:paraId="1F5BD401"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0.50</w:t>
            </w:r>
          </w:p>
        </w:tc>
      </w:tr>
      <w:tr w:rsidR="00967C16" w:rsidRPr="00967C16" w14:paraId="0A238895" w14:textId="77777777" w:rsidTr="00122B3E">
        <w:trPr>
          <w:trHeight w:val="320"/>
          <w:jc w:val="center"/>
        </w:trPr>
        <w:tc>
          <w:tcPr>
            <w:tcW w:w="2043" w:type="dxa"/>
            <w:shd w:val="clear" w:color="auto" w:fill="F2F2F2" w:themeFill="background1" w:themeFillShade="F2"/>
            <w:noWrap/>
            <w:vAlign w:val="bottom"/>
            <w:hideMark/>
          </w:tcPr>
          <w:p w14:paraId="783FF232" w14:textId="019B340A"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Actinomycetales</w:t>
            </w:r>
            <w:proofErr w:type="spellEnd"/>
          </w:p>
        </w:tc>
        <w:tc>
          <w:tcPr>
            <w:tcW w:w="2202" w:type="dxa"/>
            <w:shd w:val="clear" w:color="auto" w:fill="F2F2F2" w:themeFill="background1" w:themeFillShade="F2"/>
            <w:noWrap/>
            <w:vAlign w:val="bottom"/>
            <w:hideMark/>
          </w:tcPr>
          <w:p w14:paraId="483B5423" w14:textId="2BE3A33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Micrococcaceae</w:t>
            </w:r>
            <w:proofErr w:type="spellEnd"/>
          </w:p>
        </w:tc>
        <w:tc>
          <w:tcPr>
            <w:tcW w:w="2030" w:type="dxa"/>
            <w:shd w:val="clear" w:color="auto" w:fill="F2F2F2" w:themeFill="background1" w:themeFillShade="F2"/>
            <w:noWrap/>
            <w:vAlign w:val="bottom"/>
            <w:hideMark/>
          </w:tcPr>
          <w:p w14:paraId="271792D1" w14:textId="0A0B5263"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Arthrobacter</w:t>
            </w:r>
          </w:p>
        </w:tc>
        <w:tc>
          <w:tcPr>
            <w:tcW w:w="1530" w:type="dxa"/>
            <w:shd w:val="clear" w:color="auto" w:fill="F2F2F2" w:themeFill="background1" w:themeFillShade="F2"/>
            <w:noWrap/>
            <w:vAlign w:val="bottom"/>
            <w:hideMark/>
          </w:tcPr>
          <w:p w14:paraId="4E681612"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0.47</w:t>
            </w:r>
          </w:p>
        </w:tc>
      </w:tr>
      <w:tr w:rsidR="00967C16" w:rsidRPr="00967C16" w14:paraId="302D5803" w14:textId="77777777" w:rsidTr="00122B3E">
        <w:trPr>
          <w:trHeight w:val="320"/>
          <w:jc w:val="center"/>
        </w:trPr>
        <w:tc>
          <w:tcPr>
            <w:tcW w:w="2043" w:type="dxa"/>
            <w:shd w:val="clear" w:color="auto" w:fill="auto"/>
            <w:noWrap/>
            <w:vAlign w:val="bottom"/>
            <w:hideMark/>
          </w:tcPr>
          <w:p w14:paraId="55AAE2A8" w14:textId="76D6683D"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Burkholderiales</w:t>
            </w:r>
            <w:proofErr w:type="spellEnd"/>
          </w:p>
        </w:tc>
        <w:tc>
          <w:tcPr>
            <w:tcW w:w="2202" w:type="dxa"/>
            <w:shd w:val="clear" w:color="auto" w:fill="auto"/>
            <w:noWrap/>
            <w:vAlign w:val="bottom"/>
            <w:hideMark/>
          </w:tcPr>
          <w:p w14:paraId="17C632A2" w14:textId="6944E412"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Oxalobacteraceae</w:t>
            </w:r>
            <w:proofErr w:type="spellEnd"/>
          </w:p>
        </w:tc>
        <w:tc>
          <w:tcPr>
            <w:tcW w:w="2030" w:type="dxa"/>
            <w:shd w:val="clear" w:color="auto" w:fill="auto"/>
            <w:noWrap/>
            <w:vAlign w:val="bottom"/>
            <w:hideMark/>
          </w:tcPr>
          <w:p w14:paraId="29911E09" w14:textId="60937945" w:rsidR="00967C16" w:rsidRPr="00241E70" w:rsidRDefault="00241E70" w:rsidP="00967C16">
            <w:pPr>
              <w:jc w:val="center"/>
              <w:rPr>
                <w:rFonts w:ascii="Times New Roman" w:hAnsi="Times New Roman" w:cs="Times New Roman"/>
                <w:color w:val="000000"/>
                <w:sz w:val="22"/>
                <w:szCs w:val="22"/>
              </w:rPr>
            </w:pPr>
            <w:r w:rsidRPr="00241E70">
              <w:rPr>
                <w:rFonts w:ascii="Times New Roman" w:hAnsi="Times New Roman" w:cs="Times New Roman"/>
                <w:color w:val="000000"/>
              </w:rPr>
              <w:t>NA</w:t>
            </w:r>
          </w:p>
        </w:tc>
        <w:tc>
          <w:tcPr>
            <w:tcW w:w="1530" w:type="dxa"/>
            <w:shd w:val="clear" w:color="auto" w:fill="auto"/>
            <w:noWrap/>
            <w:vAlign w:val="bottom"/>
            <w:hideMark/>
          </w:tcPr>
          <w:p w14:paraId="3F3A070D"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0.47</w:t>
            </w:r>
          </w:p>
        </w:tc>
      </w:tr>
      <w:tr w:rsidR="00967C16" w:rsidRPr="00967C16" w14:paraId="57B2163C" w14:textId="77777777" w:rsidTr="00122B3E">
        <w:trPr>
          <w:trHeight w:val="320"/>
          <w:jc w:val="center"/>
        </w:trPr>
        <w:tc>
          <w:tcPr>
            <w:tcW w:w="2043" w:type="dxa"/>
            <w:shd w:val="clear" w:color="auto" w:fill="F2F2F2" w:themeFill="background1" w:themeFillShade="F2"/>
            <w:noWrap/>
            <w:vAlign w:val="bottom"/>
            <w:hideMark/>
          </w:tcPr>
          <w:p w14:paraId="5D2A1847" w14:textId="1ECD085B"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Xanthomonadales</w:t>
            </w:r>
            <w:proofErr w:type="spellEnd"/>
          </w:p>
        </w:tc>
        <w:tc>
          <w:tcPr>
            <w:tcW w:w="2202" w:type="dxa"/>
            <w:shd w:val="clear" w:color="auto" w:fill="F2F2F2" w:themeFill="background1" w:themeFillShade="F2"/>
            <w:noWrap/>
            <w:vAlign w:val="bottom"/>
            <w:hideMark/>
          </w:tcPr>
          <w:p w14:paraId="32F252A1" w14:textId="62E6B91A"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Xanthomonadaceae</w:t>
            </w:r>
            <w:proofErr w:type="spellEnd"/>
          </w:p>
        </w:tc>
        <w:tc>
          <w:tcPr>
            <w:tcW w:w="2030" w:type="dxa"/>
            <w:shd w:val="clear" w:color="auto" w:fill="F2F2F2" w:themeFill="background1" w:themeFillShade="F2"/>
            <w:noWrap/>
            <w:vAlign w:val="bottom"/>
            <w:hideMark/>
          </w:tcPr>
          <w:p w14:paraId="1558C77A" w14:textId="756DD635"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Stenotrophomonas</w:t>
            </w:r>
          </w:p>
        </w:tc>
        <w:tc>
          <w:tcPr>
            <w:tcW w:w="1530" w:type="dxa"/>
            <w:shd w:val="clear" w:color="auto" w:fill="F2F2F2" w:themeFill="background1" w:themeFillShade="F2"/>
            <w:noWrap/>
            <w:vAlign w:val="bottom"/>
            <w:hideMark/>
          </w:tcPr>
          <w:p w14:paraId="09E956C2"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0.44</w:t>
            </w:r>
          </w:p>
        </w:tc>
      </w:tr>
      <w:tr w:rsidR="00967C16" w:rsidRPr="00967C16" w14:paraId="2CF9B0A3" w14:textId="77777777" w:rsidTr="00122B3E">
        <w:trPr>
          <w:trHeight w:val="320"/>
          <w:jc w:val="center"/>
        </w:trPr>
        <w:tc>
          <w:tcPr>
            <w:tcW w:w="2043" w:type="dxa"/>
            <w:shd w:val="clear" w:color="auto" w:fill="auto"/>
            <w:noWrap/>
            <w:vAlign w:val="bottom"/>
            <w:hideMark/>
          </w:tcPr>
          <w:p w14:paraId="6FADB8C5" w14:textId="02814442"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Flavobacteriales</w:t>
            </w:r>
            <w:proofErr w:type="spellEnd"/>
          </w:p>
        </w:tc>
        <w:tc>
          <w:tcPr>
            <w:tcW w:w="2202" w:type="dxa"/>
            <w:shd w:val="clear" w:color="auto" w:fill="auto"/>
            <w:noWrap/>
            <w:vAlign w:val="bottom"/>
            <w:hideMark/>
          </w:tcPr>
          <w:p w14:paraId="769660D6" w14:textId="6CFFAEE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Flavobacteriaceae</w:t>
            </w:r>
            <w:proofErr w:type="spellEnd"/>
          </w:p>
        </w:tc>
        <w:tc>
          <w:tcPr>
            <w:tcW w:w="2030" w:type="dxa"/>
            <w:shd w:val="clear" w:color="auto" w:fill="auto"/>
            <w:noWrap/>
            <w:vAlign w:val="bottom"/>
            <w:hideMark/>
          </w:tcPr>
          <w:p w14:paraId="020DFAF1" w14:textId="0E33D13E"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Chryseobacterium</w:t>
            </w:r>
            <w:proofErr w:type="spellEnd"/>
          </w:p>
        </w:tc>
        <w:tc>
          <w:tcPr>
            <w:tcW w:w="1530" w:type="dxa"/>
            <w:shd w:val="clear" w:color="auto" w:fill="auto"/>
            <w:noWrap/>
            <w:vAlign w:val="bottom"/>
            <w:hideMark/>
          </w:tcPr>
          <w:p w14:paraId="6D609324"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0.44</w:t>
            </w:r>
          </w:p>
        </w:tc>
      </w:tr>
      <w:tr w:rsidR="00967C16" w:rsidRPr="00967C16" w14:paraId="675E7816" w14:textId="77777777" w:rsidTr="00122B3E">
        <w:trPr>
          <w:trHeight w:val="320"/>
          <w:jc w:val="center"/>
        </w:trPr>
        <w:tc>
          <w:tcPr>
            <w:tcW w:w="2043" w:type="dxa"/>
            <w:shd w:val="clear" w:color="auto" w:fill="F2F2F2" w:themeFill="background1" w:themeFillShade="F2"/>
            <w:noWrap/>
            <w:vAlign w:val="bottom"/>
            <w:hideMark/>
          </w:tcPr>
          <w:p w14:paraId="7370102D" w14:textId="0B52E0D7"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Flavobacteriales</w:t>
            </w:r>
            <w:proofErr w:type="spellEnd"/>
          </w:p>
        </w:tc>
        <w:tc>
          <w:tcPr>
            <w:tcW w:w="2202" w:type="dxa"/>
            <w:shd w:val="clear" w:color="auto" w:fill="F2F2F2" w:themeFill="background1" w:themeFillShade="F2"/>
            <w:noWrap/>
            <w:vAlign w:val="bottom"/>
            <w:hideMark/>
          </w:tcPr>
          <w:p w14:paraId="2D2970BB" w14:textId="5B2F892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Flavobacteriaceae</w:t>
            </w:r>
            <w:proofErr w:type="spellEnd"/>
          </w:p>
        </w:tc>
        <w:tc>
          <w:tcPr>
            <w:tcW w:w="2030" w:type="dxa"/>
            <w:shd w:val="clear" w:color="auto" w:fill="F2F2F2" w:themeFill="background1" w:themeFillShade="F2"/>
            <w:noWrap/>
            <w:vAlign w:val="bottom"/>
            <w:hideMark/>
          </w:tcPr>
          <w:p w14:paraId="29D6935F" w14:textId="767D28E6"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Chryseobacterium</w:t>
            </w:r>
            <w:proofErr w:type="spellEnd"/>
          </w:p>
        </w:tc>
        <w:tc>
          <w:tcPr>
            <w:tcW w:w="1530" w:type="dxa"/>
            <w:shd w:val="clear" w:color="auto" w:fill="F2F2F2" w:themeFill="background1" w:themeFillShade="F2"/>
            <w:noWrap/>
            <w:vAlign w:val="bottom"/>
            <w:hideMark/>
          </w:tcPr>
          <w:p w14:paraId="27E06A65"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0.35</w:t>
            </w:r>
          </w:p>
        </w:tc>
      </w:tr>
      <w:tr w:rsidR="00967C16" w:rsidRPr="00967C16" w14:paraId="4E8B563E" w14:textId="77777777" w:rsidTr="00122B3E">
        <w:trPr>
          <w:trHeight w:val="320"/>
          <w:jc w:val="center"/>
        </w:trPr>
        <w:tc>
          <w:tcPr>
            <w:tcW w:w="2043" w:type="dxa"/>
            <w:shd w:val="clear" w:color="auto" w:fill="auto"/>
            <w:noWrap/>
            <w:vAlign w:val="bottom"/>
            <w:hideMark/>
          </w:tcPr>
          <w:p w14:paraId="4640BB0F" w14:textId="4DCD480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auto"/>
            <w:noWrap/>
            <w:vAlign w:val="bottom"/>
            <w:hideMark/>
          </w:tcPr>
          <w:p w14:paraId="3C5502D2" w14:textId="32525310"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Pseudomonadaceae</w:t>
            </w:r>
          </w:p>
        </w:tc>
        <w:tc>
          <w:tcPr>
            <w:tcW w:w="2030" w:type="dxa"/>
            <w:shd w:val="clear" w:color="auto" w:fill="auto"/>
            <w:noWrap/>
            <w:vAlign w:val="bottom"/>
            <w:hideMark/>
          </w:tcPr>
          <w:p w14:paraId="2459F9FF" w14:textId="6B107989"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Pseudomonas</w:t>
            </w:r>
          </w:p>
        </w:tc>
        <w:tc>
          <w:tcPr>
            <w:tcW w:w="1530" w:type="dxa"/>
            <w:shd w:val="clear" w:color="auto" w:fill="auto"/>
            <w:noWrap/>
            <w:vAlign w:val="bottom"/>
            <w:hideMark/>
          </w:tcPr>
          <w:p w14:paraId="2AD87EF5"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0.32</w:t>
            </w:r>
          </w:p>
        </w:tc>
      </w:tr>
      <w:tr w:rsidR="00967C16" w:rsidRPr="00967C16" w14:paraId="7390021A" w14:textId="77777777" w:rsidTr="00122B3E">
        <w:trPr>
          <w:trHeight w:val="320"/>
          <w:jc w:val="center"/>
        </w:trPr>
        <w:tc>
          <w:tcPr>
            <w:tcW w:w="2043" w:type="dxa"/>
            <w:shd w:val="clear" w:color="auto" w:fill="F2F2F2" w:themeFill="background1" w:themeFillShade="F2"/>
            <w:noWrap/>
            <w:vAlign w:val="bottom"/>
            <w:hideMark/>
          </w:tcPr>
          <w:p w14:paraId="714DE557" w14:textId="6CF6B8EF"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Bacillales</w:t>
            </w:r>
            <w:proofErr w:type="spellEnd"/>
          </w:p>
        </w:tc>
        <w:tc>
          <w:tcPr>
            <w:tcW w:w="2202" w:type="dxa"/>
            <w:shd w:val="clear" w:color="auto" w:fill="F2F2F2" w:themeFill="background1" w:themeFillShade="F2"/>
            <w:noWrap/>
            <w:vAlign w:val="bottom"/>
            <w:hideMark/>
          </w:tcPr>
          <w:p w14:paraId="54642C32" w14:textId="33C3614B"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Bacillaceae</w:t>
            </w:r>
            <w:proofErr w:type="spellEnd"/>
          </w:p>
        </w:tc>
        <w:tc>
          <w:tcPr>
            <w:tcW w:w="2030" w:type="dxa"/>
            <w:shd w:val="clear" w:color="auto" w:fill="F2F2F2" w:themeFill="background1" w:themeFillShade="F2"/>
            <w:noWrap/>
            <w:vAlign w:val="bottom"/>
            <w:hideMark/>
          </w:tcPr>
          <w:p w14:paraId="22006217" w14:textId="48C5BB96"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Bacillus</w:t>
            </w:r>
          </w:p>
        </w:tc>
        <w:tc>
          <w:tcPr>
            <w:tcW w:w="1530" w:type="dxa"/>
            <w:shd w:val="clear" w:color="auto" w:fill="F2F2F2" w:themeFill="background1" w:themeFillShade="F2"/>
            <w:noWrap/>
            <w:vAlign w:val="bottom"/>
            <w:hideMark/>
          </w:tcPr>
          <w:p w14:paraId="03BFE3BA"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0.29</w:t>
            </w:r>
          </w:p>
        </w:tc>
      </w:tr>
      <w:tr w:rsidR="00967C16" w:rsidRPr="00967C16" w14:paraId="4044ED24" w14:textId="77777777" w:rsidTr="00122B3E">
        <w:trPr>
          <w:trHeight w:val="320"/>
          <w:jc w:val="center"/>
        </w:trPr>
        <w:tc>
          <w:tcPr>
            <w:tcW w:w="2043" w:type="dxa"/>
            <w:shd w:val="clear" w:color="auto" w:fill="auto"/>
            <w:noWrap/>
            <w:vAlign w:val="bottom"/>
            <w:hideMark/>
          </w:tcPr>
          <w:p w14:paraId="7B2373E2" w14:textId="585CC98F"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auto"/>
            <w:noWrap/>
            <w:vAlign w:val="bottom"/>
            <w:hideMark/>
          </w:tcPr>
          <w:p w14:paraId="1A21986B" w14:textId="673C3DF9"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Moraxellaceae</w:t>
            </w:r>
            <w:proofErr w:type="spellEnd"/>
          </w:p>
        </w:tc>
        <w:tc>
          <w:tcPr>
            <w:tcW w:w="2030" w:type="dxa"/>
            <w:shd w:val="clear" w:color="auto" w:fill="auto"/>
            <w:noWrap/>
            <w:vAlign w:val="bottom"/>
            <w:hideMark/>
          </w:tcPr>
          <w:p w14:paraId="15E10954" w14:textId="7BA57C77"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Acinetobacter</w:t>
            </w:r>
          </w:p>
        </w:tc>
        <w:tc>
          <w:tcPr>
            <w:tcW w:w="1530" w:type="dxa"/>
            <w:shd w:val="clear" w:color="auto" w:fill="auto"/>
            <w:noWrap/>
            <w:vAlign w:val="bottom"/>
            <w:hideMark/>
          </w:tcPr>
          <w:p w14:paraId="752FA7CA"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0.24</w:t>
            </w:r>
          </w:p>
        </w:tc>
      </w:tr>
      <w:tr w:rsidR="00967C16" w:rsidRPr="00967C16" w14:paraId="26A222B3" w14:textId="77777777" w:rsidTr="00122B3E">
        <w:trPr>
          <w:trHeight w:val="320"/>
          <w:jc w:val="center"/>
        </w:trPr>
        <w:tc>
          <w:tcPr>
            <w:tcW w:w="2043" w:type="dxa"/>
            <w:shd w:val="clear" w:color="auto" w:fill="F2F2F2" w:themeFill="background1" w:themeFillShade="F2"/>
            <w:noWrap/>
            <w:vAlign w:val="bottom"/>
            <w:hideMark/>
          </w:tcPr>
          <w:p w14:paraId="4EDA098C" w14:textId="4BE54E0A"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Burkholderiales</w:t>
            </w:r>
            <w:proofErr w:type="spellEnd"/>
          </w:p>
        </w:tc>
        <w:tc>
          <w:tcPr>
            <w:tcW w:w="2202" w:type="dxa"/>
            <w:shd w:val="clear" w:color="auto" w:fill="F2F2F2" w:themeFill="background1" w:themeFillShade="F2"/>
            <w:noWrap/>
            <w:vAlign w:val="bottom"/>
            <w:hideMark/>
          </w:tcPr>
          <w:p w14:paraId="1DAD1F18" w14:textId="2581973E"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Comamonadaceae</w:t>
            </w:r>
            <w:proofErr w:type="spellEnd"/>
          </w:p>
        </w:tc>
        <w:tc>
          <w:tcPr>
            <w:tcW w:w="2030" w:type="dxa"/>
            <w:shd w:val="clear" w:color="auto" w:fill="F2F2F2" w:themeFill="background1" w:themeFillShade="F2"/>
            <w:noWrap/>
            <w:vAlign w:val="bottom"/>
            <w:hideMark/>
          </w:tcPr>
          <w:p w14:paraId="158EB064" w14:textId="7F267917"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Comamonas</w:t>
            </w:r>
            <w:proofErr w:type="spellEnd"/>
          </w:p>
        </w:tc>
        <w:tc>
          <w:tcPr>
            <w:tcW w:w="1530" w:type="dxa"/>
            <w:shd w:val="clear" w:color="auto" w:fill="F2F2F2" w:themeFill="background1" w:themeFillShade="F2"/>
            <w:noWrap/>
            <w:vAlign w:val="bottom"/>
            <w:hideMark/>
          </w:tcPr>
          <w:p w14:paraId="1E11A98C"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0.18</w:t>
            </w:r>
          </w:p>
        </w:tc>
      </w:tr>
      <w:tr w:rsidR="00967C16" w:rsidRPr="00967C16" w14:paraId="44A8AB4F" w14:textId="77777777" w:rsidTr="00122B3E">
        <w:trPr>
          <w:trHeight w:val="320"/>
          <w:jc w:val="center"/>
        </w:trPr>
        <w:tc>
          <w:tcPr>
            <w:tcW w:w="2043" w:type="dxa"/>
            <w:shd w:val="clear" w:color="auto" w:fill="auto"/>
            <w:noWrap/>
            <w:vAlign w:val="bottom"/>
            <w:hideMark/>
          </w:tcPr>
          <w:p w14:paraId="3CE904FC" w14:textId="62E83DD6"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Neisseriales</w:t>
            </w:r>
            <w:proofErr w:type="spellEnd"/>
          </w:p>
        </w:tc>
        <w:tc>
          <w:tcPr>
            <w:tcW w:w="2202" w:type="dxa"/>
            <w:shd w:val="clear" w:color="auto" w:fill="auto"/>
            <w:noWrap/>
            <w:vAlign w:val="bottom"/>
            <w:hideMark/>
          </w:tcPr>
          <w:p w14:paraId="527105D9" w14:textId="461C1C4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Neisseriaceae</w:t>
            </w:r>
          </w:p>
        </w:tc>
        <w:tc>
          <w:tcPr>
            <w:tcW w:w="2030" w:type="dxa"/>
            <w:shd w:val="clear" w:color="auto" w:fill="auto"/>
            <w:noWrap/>
            <w:vAlign w:val="bottom"/>
            <w:hideMark/>
          </w:tcPr>
          <w:p w14:paraId="54FA288D" w14:textId="36AF4254"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NA</w:t>
            </w:r>
          </w:p>
        </w:tc>
        <w:tc>
          <w:tcPr>
            <w:tcW w:w="1530" w:type="dxa"/>
            <w:shd w:val="clear" w:color="auto" w:fill="auto"/>
            <w:noWrap/>
            <w:vAlign w:val="bottom"/>
            <w:hideMark/>
          </w:tcPr>
          <w:p w14:paraId="1BF29772"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0.18</w:t>
            </w:r>
          </w:p>
        </w:tc>
      </w:tr>
      <w:tr w:rsidR="00967C16" w:rsidRPr="00967C16" w14:paraId="53EE98CD" w14:textId="77777777" w:rsidTr="00122B3E">
        <w:trPr>
          <w:trHeight w:val="320"/>
          <w:jc w:val="center"/>
        </w:trPr>
        <w:tc>
          <w:tcPr>
            <w:tcW w:w="2043" w:type="dxa"/>
            <w:shd w:val="clear" w:color="auto" w:fill="F2F2F2" w:themeFill="background1" w:themeFillShade="F2"/>
            <w:noWrap/>
            <w:vAlign w:val="bottom"/>
            <w:hideMark/>
          </w:tcPr>
          <w:p w14:paraId="1F938211" w14:textId="19C5D764"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F2F2F2" w:themeFill="background1" w:themeFillShade="F2"/>
            <w:noWrap/>
            <w:vAlign w:val="bottom"/>
            <w:hideMark/>
          </w:tcPr>
          <w:p w14:paraId="78F19320" w14:textId="454232A3"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Moraxellaceae</w:t>
            </w:r>
            <w:proofErr w:type="spellEnd"/>
          </w:p>
        </w:tc>
        <w:tc>
          <w:tcPr>
            <w:tcW w:w="2030" w:type="dxa"/>
            <w:shd w:val="clear" w:color="auto" w:fill="F2F2F2" w:themeFill="background1" w:themeFillShade="F2"/>
            <w:noWrap/>
            <w:vAlign w:val="bottom"/>
            <w:hideMark/>
          </w:tcPr>
          <w:p w14:paraId="66A6215E" w14:textId="0E93D16D"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Acinetobacter</w:t>
            </w:r>
          </w:p>
        </w:tc>
        <w:tc>
          <w:tcPr>
            <w:tcW w:w="1530" w:type="dxa"/>
            <w:shd w:val="clear" w:color="auto" w:fill="F2F2F2" w:themeFill="background1" w:themeFillShade="F2"/>
            <w:noWrap/>
            <w:vAlign w:val="bottom"/>
            <w:hideMark/>
          </w:tcPr>
          <w:p w14:paraId="0E5AFED3"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0.18</w:t>
            </w:r>
          </w:p>
        </w:tc>
      </w:tr>
      <w:tr w:rsidR="00967C16" w:rsidRPr="00967C16" w14:paraId="629A74DB" w14:textId="77777777" w:rsidTr="00122B3E">
        <w:trPr>
          <w:trHeight w:val="320"/>
          <w:jc w:val="center"/>
        </w:trPr>
        <w:tc>
          <w:tcPr>
            <w:tcW w:w="2043" w:type="dxa"/>
            <w:shd w:val="clear" w:color="auto" w:fill="auto"/>
            <w:noWrap/>
            <w:vAlign w:val="bottom"/>
            <w:hideMark/>
          </w:tcPr>
          <w:p w14:paraId="689314CC" w14:textId="44B8BACF"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Xanthomonadales</w:t>
            </w:r>
            <w:proofErr w:type="spellEnd"/>
          </w:p>
        </w:tc>
        <w:tc>
          <w:tcPr>
            <w:tcW w:w="2202" w:type="dxa"/>
            <w:shd w:val="clear" w:color="auto" w:fill="auto"/>
            <w:noWrap/>
            <w:vAlign w:val="bottom"/>
            <w:hideMark/>
          </w:tcPr>
          <w:p w14:paraId="6D91CE11" w14:textId="1A3AB562"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Xanthomonadaceae</w:t>
            </w:r>
            <w:proofErr w:type="spellEnd"/>
          </w:p>
        </w:tc>
        <w:tc>
          <w:tcPr>
            <w:tcW w:w="2030" w:type="dxa"/>
            <w:shd w:val="clear" w:color="auto" w:fill="auto"/>
            <w:noWrap/>
            <w:vAlign w:val="bottom"/>
            <w:hideMark/>
          </w:tcPr>
          <w:p w14:paraId="0D9B5AF7" w14:textId="02C0BEA9"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Dyella</w:t>
            </w:r>
            <w:proofErr w:type="spellEnd"/>
          </w:p>
        </w:tc>
        <w:tc>
          <w:tcPr>
            <w:tcW w:w="1530" w:type="dxa"/>
            <w:shd w:val="clear" w:color="auto" w:fill="auto"/>
            <w:noWrap/>
            <w:vAlign w:val="bottom"/>
            <w:hideMark/>
          </w:tcPr>
          <w:p w14:paraId="1BFD61B7"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0.18</w:t>
            </w:r>
          </w:p>
        </w:tc>
      </w:tr>
      <w:tr w:rsidR="00967C16" w:rsidRPr="00967C16" w14:paraId="1E919D72" w14:textId="77777777" w:rsidTr="00122B3E">
        <w:trPr>
          <w:trHeight w:val="320"/>
          <w:jc w:val="center"/>
        </w:trPr>
        <w:tc>
          <w:tcPr>
            <w:tcW w:w="2043" w:type="dxa"/>
            <w:shd w:val="clear" w:color="auto" w:fill="F2F2F2" w:themeFill="background1" w:themeFillShade="F2"/>
            <w:noWrap/>
            <w:vAlign w:val="bottom"/>
            <w:hideMark/>
          </w:tcPr>
          <w:p w14:paraId="45315D5C" w14:textId="55974C03"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Actinomycetales</w:t>
            </w:r>
            <w:proofErr w:type="spellEnd"/>
          </w:p>
        </w:tc>
        <w:tc>
          <w:tcPr>
            <w:tcW w:w="2202" w:type="dxa"/>
            <w:shd w:val="clear" w:color="auto" w:fill="F2F2F2" w:themeFill="background1" w:themeFillShade="F2"/>
            <w:noWrap/>
            <w:vAlign w:val="bottom"/>
            <w:hideMark/>
          </w:tcPr>
          <w:p w14:paraId="11D76512" w14:textId="038CE021"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Brevibacteriaceae</w:t>
            </w:r>
            <w:proofErr w:type="spellEnd"/>
          </w:p>
        </w:tc>
        <w:tc>
          <w:tcPr>
            <w:tcW w:w="2030" w:type="dxa"/>
            <w:shd w:val="clear" w:color="auto" w:fill="F2F2F2" w:themeFill="background1" w:themeFillShade="F2"/>
            <w:noWrap/>
            <w:vAlign w:val="bottom"/>
            <w:hideMark/>
          </w:tcPr>
          <w:p w14:paraId="0F4D246E" w14:textId="780A6E88"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Brevibacterium</w:t>
            </w:r>
            <w:proofErr w:type="spellEnd"/>
          </w:p>
        </w:tc>
        <w:tc>
          <w:tcPr>
            <w:tcW w:w="1530" w:type="dxa"/>
            <w:shd w:val="clear" w:color="auto" w:fill="F2F2F2" w:themeFill="background1" w:themeFillShade="F2"/>
            <w:noWrap/>
            <w:vAlign w:val="bottom"/>
            <w:hideMark/>
          </w:tcPr>
          <w:p w14:paraId="1D7B4EFA"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0.15</w:t>
            </w:r>
          </w:p>
        </w:tc>
      </w:tr>
      <w:tr w:rsidR="00967C16" w:rsidRPr="00967C16" w14:paraId="1E4A4BC1" w14:textId="77777777" w:rsidTr="00122B3E">
        <w:trPr>
          <w:trHeight w:val="320"/>
          <w:jc w:val="center"/>
        </w:trPr>
        <w:tc>
          <w:tcPr>
            <w:tcW w:w="2043" w:type="dxa"/>
            <w:shd w:val="clear" w:color="auto" w:fill="auto"/>
            <w:noWrap/>
            <w:vAlign w:val="bottom"/>
            <w:hideMark/>
          </w:tcPr>
          <w:p w14:paraId="077D4C04" w14:textId="6ED77B7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auto"/>
            <w:noWrap/>
            <w:vAlign w:val="bottom"/>
            <w:hideMark/>
          </w:tcPr>
          <w:p w14:paraId="6CD9FBF5" w14:textId="40F1AB8C"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Pseudomonadaceae</w:t>
            </w:r>
          </w:p>
        </w:tc>
        <w:tc>
          <w:tcPr>
            <w:tcW w:w="2030" w:type="dxa"/>
            <w:shd w:val="clear" w:color="auto" w:fill="auto"/>
            <w:noWrap/>
            <w:vAlign w:val="bottom"/>
            <w:hideMark/>
          </w:tcPr>
          <w:p w14:paraId="01A3E34A" w14:textId="77D4239F"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Pseudomonas</w:t>
            </w:r>
          </w:p>
        </w:tc>
        <w:tc>
          <w:tcPr>
            <w:tcW w:w="1530" w:type="dxa"/>
            <w:shd w:val="clear" w:color="auto" w:fill="auto"/>
            <w:noWrap/>
            <w:vAlign w:val="bottom"/>
            <w:hideMark/>
          </w:tcPr>
          <w:p w14:paraId="075335F9"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0.15</w:t>
            </w:r>
          </w:p>
        </w:tc>
      </w:tr>
      <w:tr w:rsidR="00967C16" w:rsidRPr="00967C16" w14:paraId="1E1594BA" w14:textId="77777777" w:rsidTr="00122B3E">
        <w:trPr>
          <w:trHeight w:val="320"/>
          <w:jc w:val="center"/>
        </w:trPr>
        <w:tc>
          <w:tcPr>
            <w:tcW w:w="2043" w:type="dxa"/>
            <w:shd w:val="clear" w:color="auto" w:fill="F2F2F2" w:themeFill="background1" w:themeFillShade="F2"/>
            <w:noWrap/>
            <w:vAlign w:val="bottom"/>
            <w:hideMark/>
          </w:tcPr>
          <w:p w14:paraId="411AFFBA" w14:textId="3E7EE096"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F2F2F2" w:themeFill="background1" w:themeFillShade="F2"/>
            <w:noWrap/>
            <w:vAlign w:val="bottom"/>
            <w:hideMark/>
          </w:tcPr>
          <w:p w14:paraId="43D14CF0" w14:textId="102EAC08"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Moraxellaceae</w:t>
            </w:r>
            <w:proofErr w:type="spellEnd"/>
          </w:p>
        </w:tc>
        <w:tc>
          <w:tcPr>
            <w:tcW w:w="2030" w:type="dxa"/>
            <w:shd w:val="clear" w:color="auto" w:fill="F2F2F2" w:themeFill="background1" w:themeFillShade="F2"/>
            <w:noWrap/>
            <w:vAlign w:val="bottom"/>
            <w:hideMark/>
          </w:tcPr>
          <w:p w14:paraId="4F81648F" w14:textId="7DCA7150"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Acinetobacter</w:t>
            </w:r>
          </w:p>
        </w:tc>
        <w:tc>
          <w:tcPr>
            <w:tcW w:w="1530" w:type="dxa"/>
            <w:shd w:val="clear" w:color="auto" w:fill="F2F2F2" w:themeFill="background1" w:themeFillShade="F2"/>
            <w:noWrap/>
            <w:vAlign w:val="bottom"/>
            <w:hideMark/>
          </w:tcPr>
          <w:p w14:paraId="31FBA5D4"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0.12</w:t>
            </w:r>
          </w:p>
        </w:tc>
      </w:tr>
      <w:tr w:rsidR="00967C16" w:rsidRPr="00967C16" w14:paraId="10251883" w14:textId="77777777" w:rsidTr="00122B3E">
        <w:trPr>
          <w:trHeight w:val="320"/>
          <w:jc w:val="center"/>
        </w:trPr>
        <w:tc>
          <w:tcPr>
            <w:tcW w:w="2043" w:type="dxa"/>
            <w:shd w:val="clear" w:color="auto" w:fill="auto"/>
            <w:noWrap/>
            <w:vAlign w:val="bottom"/>
            <w:hideMark/>
          </w:tcPr>
          <w:p w14:paraId="7B3D11B6" w14:textId="2F77D721"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Pseudomonadales</w:t>
            </w:r>
            <w:proofErr w:type="spellEnd"/>
          </w:p>
        </w:tc>
        <w:tc>
          <w:tcPr>
            <w:tcW w:w="2202" w:type="dxa"/>
            <w:shd w:val="clear" w:color="auto" w:fill="auto"/>
            <w:noWrap/>
            <w:vAlign w:val="bottom"/>
            <w:hideMark/>
          </w:tcPr>
          <w:p w14:paraId="70DD800E" w14:textId="3A172187"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Moraxellaceae</w:t>
            </w:r>
            <w:proofErr w:type="spellEnd"/>
          </w:p>
        </w:tc>
        <w:tc>
          <w:tcPr>
            <w:tcW w:w="2030" w:type="dxa"/>
            <w:shd w:val="clear" w:color="auto" w:fill="auto"/>
            <w:noWrap/>
            <w:vAlign w:val="bottom"/>
            <w:hideMark/>
          </w:tcPr>
          <w:p w14:paraId="7C868C8C" w14:textId="2D5D8086"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Acinetobacter</w:t>
            </w:r>
          </w:p>
        </w:tc>
        <w:tc>
          <w:tcPr>
            <w:tcW w:w="1530" w:type="dxa"/>
            <w:shd w:val="clear" w:color="auto" w:fill="auto"/>
            <w:noWrap/>
            <w:vAlign w:val="bottom"/>
            <w:hideMark/>
          </w:tcPr>
          <w:p w14:paraId="50CAD39D"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0.12</w:t>
            </w:r>
          </w:p>
        </w:tc>
      </w:tr>
      <w:tr w:rsidR="00967C16" w:rsidRPr="00967C16" w14:paraId="2C81BF9D" w14:textId="77777777" w:rsidTr="00122B3E">
        <w:trPr>
          <w:trHeight w:val="320"/>
          <w:jc w:val="center"/>
        </w:trPr>
        <w:tc>
          <w:tcPr>
            <w:tcW w:w="2043" w:type="dxa"/>
            <w:shd w:val="clear" w:color="auto" w:fill="F2F2F2" w:themeFill="background1" w:themeFillShade="F2"/>
            <w:noWrap/>
            <w:vAlign w:val="bottom"/>
            <w:hideMark/>
          </w:tcPr>
          <w:p w14:paraId="3AE7EF7A" w14:textId="7FED0F21"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Burkholderiales</w:t>
            </w:r>
            <w:proofErr w:type="spellEnd"/>
          </w:p>
        </w:tc>
        <w:tc>
          <w:tcPr>
            <w:tcW w:w="2202" w:type="dxa"/>
            <w:shd w:val="clear" w:color="auto" w:fill="F2F2F2" w:themeFill="background1" w:themeFillShade="F2"/>
            <w:noWrap/>
            <w:vAlign w:val="bottom"/>
            <w:hideMark/>
          </w:tcPr>
          <w:p w14:paraId="6EDAF010" w14:textId="426DC6E4"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Comamonadaceae</w:t>
            </w:r>
            <w:proofErr w:type="spellEnd"/>
          </w:p>
        </w:tc>
        <w:tc>
          <w:tcPr>
            <w:tcW w:w="2030" w:type="dxa"/>
            <w:shd w:val="clear" w:color="auto" w:fill="F2F2F2" w:themeFill="background1" w:themeFillShade="F2"/>
            <w:noWrap/>
            <w:vAlign w:val="bottom"/>
            <w:hideMark/>
          </w:tcPr>
          <w:p w14:paraId="6038805C" w14:textId="62488644"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Comamonas</w:t>
            </w:r>
            <w:proofErr w:type="spellEnd"/>
          </w:p>
        </w:tc>
        <w:tc>
          <w:tcPr>
            <w:tcW w:w="1530" w:type="dxa"/>
            <w:shd w:val="clear" w:color="auto" w:fill="F2F2F2" w:themeFill="background1" w:themeFillShade="F2"/>
            <w:noWrap/>
            <w:vAlign w:val="bottom"/>
            <w:hideMark/>
          </w:tcPr>
          <w:p w14:paraId="72A12E7F"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0.09</w:t>
            </w:r>
          </w:p>
        </w:tc>
      </w:tr>
      <w:tr w:rsidR="00967C16" w:rsidRPr="00967C16" w14:paraId="52B9115E" w14:textId="77777777" w:rsidTr="00122B3E">
        <w:trPr>
          <w:trHeight w:val="320"/>
          <w:jc w:val="center"/>
        </w:trPr>
        <w:tc>
          <w:tcPr>
            <w:tcW w:w="2043" w:type="dxa"/>
            <w:shd w:val="clear" w:color="auto" w:fill="auto"/>
            <w:noWrap/>
            <w:vAlign w:val="bottom"/>
            <w:hideMark/>
          </w:tcPr>
          <w:p w14:paraId="19CF4254" w14:textId="11D23085"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Caulobacterales</w:t>
            </w:r>
            <w:proofErr w:type="spellEnd"/>
          </w:p>
        </w:tc>
        <w:tc>
          <w:tcPr>
            <w:tcW w:w="2202" w:type="dxa"/>
            <w:shd w:val="clear" w:color="auto" w:fill="auto"/>
            <w:noWrap/>
            <w:vAlign w:val="bottom"/>
            <w:hideMark/>
          </w:tcPr>
          <w:p w14:paraId="3F303EBF" w14:textId="49C805E4"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Caulobacteraceae</w:t>
            </w:r>
          </w:p>
        </w:tc>
        <w:tc>
          <w:tcPr>
            <w:tcW w:w="2030" w:type="dxa"/>
            <w:shd w:val="clear" w:color="auto" w:fill="auto"/>
            <w:noWrap/>
            <w:vAlign w:val="bottom"/>
            <w:hideMark/>
          </w:tcPr>
          <w:p w14:paraId="38E40200" w14:textId="4BE023A9"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Brevundimonas</w:t>
            </w:r>
            <w:proofErr w:type="spellEnd"/>
          </w:p>
        </w:tc>
        <w:tc>
          <w:tcPr>
            <w:tcW w:w="1530" w:type="dxa"/>
            <w:shd w:val="clear" w:color="auto" w:fill="auto"/>
            <w:noWrap/>
            <w:vAlign w:val="bottom"/>
            <w:hideMark/>
          </w:tcPr>
          <w:p w14:paraId="1E2D80F6"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0.09</w:t>
            </w:r>
          </w:p>
        </w:tc>
      </w:tr>
      <w:tr w:rsidR="00967C16" w:rsidRPr="00967C16" w14:paraId="5B5E6E6B" w14:textId="77777777" w:rsidTr="00122B3E">
        <w:trPr>
          <w:trHeight w:val="320"/>
          <w:jc w:val="center"/>
        </w:trPr>
        <w:tc>
          <w:tcPr>
            <w:tcW w:w="2043" w:type="dxa"/>
            <w:shd w:val="clear" w:color="auto" w:fill="F2F2F2" w:themeFill="background1" w:themeFillShade="F2"/>
            <w:noWrap/>
            <w:vAlign w:val="bottom"/>
            <w:hideMark/>
          </w:tcPr>
          <w:p w14:paraId="37A723B4" w14:textId="4EDEA7AA"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Bacillales</w:t>
            </w:r>
            <w:proofErr w:type="spellEnd"/>
          </w:p>
        </w:tc>
        <w:tc>
          <w:tcPr>
            <w:tcW w:w="2202" w:type="dxa"/>
            <w:shd w:val="clear" w:color="auto" w:fill="F2F2F2" w:themeFill="background1" w:themeFillShade="F2"/>
            <w:noWrap/>
            <w:vAlign w:val="bottom"/>
            <w:hideMark/>
          </w:tcPr>
          <w:p w14:paraId="2211813E" w14:textId="0EE2CC3E"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Bacillaceae</w:t>
            </w:r>
            <w:proofErr w:type="spellEnd"/>
          </w:p>
        </w:tc>
        <w:tc>
          <w:tcPr>
            <w:tcW w:w="2030" w:type="dxa"/>
            <w:shd w:val="clear" w:color="auto" w:fill="F2F2F2" w:themeFill="background1" w:themeFillShade="F2"/>
            <w:noWrap/>
            <w:vAlign w:val="bottom"/>
            <w:hideMark/>
          </w:tcPr>
          <w:p w14:paraId="1497DAA1" w14:textId="0935D1A5"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Bacillus</w:t>
            </w:r>
          </w:p>
        </w:tc>
        <w:tc>
          <w:tcPr>
            <w:tcW w:w="1530" w:type="dxa"/>
            <w:shd w:val="clear" w:color="auto" w:fill="F2F2F2" w:themeFill="background1" w:themeFillShade="F2"/>
            <w:noWrap/>
            <w:vAlign w:val="bottom"/>
            <w:hideMark/>
          </w:tcPr>
          <w:p w14:paraId="20AB0152"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0.06</w:t>
            </w:r>
          </w:p>
        </w:tc>
      </w:tr>
      <w:tr w:rsidR="00967C16" w:rsidRPr="00967C16" w14:paraId="2B830283" w14:textId="77777777" w:rsidTr="00122B3E">
        <w:trPr>
          <w:trHeight w:val="320"/>
          <w:jc w:val="center"/>
        </w:trPr>
        <w:tc>
          <w:tcPr>
            <w:tcW w:w="2043" w:type="dxa"/>
            <w:shd w:val="clear" w:color="auto" w:fill="auto"/>
            <w:noWrap/>
            <w:vAlign w:val="bottom"/>
            <w:hideMark/>
          </w:tcPr>
          <w:p w14:paraId="4846E4DA" w14:textId="6915E7B3"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Enterobacteriales</w:t>
            </w:r>
            <w:proofErr w:type="spellEnd"/>
          </w:p>
        </w:tc>
        <w:tc>
          <w:tcPr>
            <w:tcW w:w="2202" w:type="dxa"/>
            <w:shd w:val="clear" w:color="auto" w:fill="auto"/>
            <w:noWrap/>
            <w:vAlign w:val="bottom"/>
            <w:hideMark/>
          </w:tcPr>
          <w:p w14:paraId="62C66578" w14:textId="6601CD1B"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Enterobacteriaceae</w:t>
            </w:r>
          </w:p>
        </w:tc>
        <w:tc>
          <w:tcPr>
            <w:tcW w:w="2030" w:type="dxa"/>
            <w:shd w:val="clear" w:color="auto" w:fill="auto"/>
            <w:noWrap/>
            <w:vAlign w:val="bottom"/>
            <w:hideMark/>
          </w:tcPr>
          <w:p w14:paraId="702FAA78" w14:textId="56455BB6"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Serratia</w:t>
            </w:r>
          </w:p>
        </w:tc>
        <w:tc>
          <w:tcPr>
            <w:tcW w:w="1530" w:type="dxa"/>
            <w:shd w:val="clear" w:color="auto" w:fill="auto"/>
            <w:noWrap/>
            <w:vAlign w:val="bottom"/>
            <w:hideMark/>
          </w:tcPr>
          <w:p w14:paraId="6FABC3CA"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0.06</w:t>
            </w:r>
          </w:p>
        </w:tc>
      </w:tr>
      <w:tr w:rsidR="00967C16" w:rsidRPr="00967C16" w14:paraId="4CF9C00D" w14:textId="77777777" w:rsidTr="00122B3E">
        <w:trPr>
          <w:trHeight w:val="320"/>
          <w:jc w:val="center"/>
        </w:trPr>
        <w:tc>
          <w:tcPr>
            <w:tcW w:w="2043" w:type="dxa"/>
            <w:shd w:val="clear" w:color="auto" w:fill="F2F2F2" w:themeFill="background1" w:themeFillShade="F2"/>
            <w:noWrap/>
            <w:vAlign w:val="bottom"/>
            <w:hideMark/>
          </w:tcPr>
          <w:p w14:paraId="2615AA92" w14:textId="429AC355"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Xanthomonadales</w:t>
            </w:r>
            <w:proofErr w:type="spellEnd"/>
          </w:p>
        </w:tc>
        <w:tc>
          <w:tcPr>
            <w:tcW w:w="2202" w:type="dxa"/>
            <w:shd w:val="clear" w:color="auto" w:fill="F2F2F2" w:themeFill="background1" w:themeFillShade="F2"/>
            <w:noWrap/>
            <w:vAlign w:val="bottom"/>
            <w:hideMark/>
          </w:tcPr>
          <w:p w14:paraId="283D5DDC" w14:textId="495D4716"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Xanthomonadaceae</w:t>
            </w:r>
            <w:proofErr w:type="spellEnd"/>
          </w:p>
        </w:tc>
        <w:tc>
          <w:tcPr>
            <w:tcW w:w="2030" w:type="dxa"/>
            <w:shd w:val="clear" w:color="auto" w:fill="F2F2F2" w:themeFill="background1" w:themeFillShade="F2"/>
            <w:noWrap/>
            <w:vAlign w:val="bottom"/>
            <w:hideMark/>
          </w:tcPr>
          <w:p w14:paraId="55468AF3" w14:textId="45D3F130"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Luteimonas</w:t>
            </w:r>
            <w:proofErr w:type="spellEnd"/>
          </w:p>
        </w:tc>
        <w:tc>
          <w:tcPr>
            <w:tcW w:w="1530" w:type="dxa"/>
            <w:shd w:val="clear" w:color="auto" w:fill="F2F2F2" w:themeFill="background1" w:themeFillShade="F2"/>
            <w:noWrap/>
            <w:vAlign w:val="bottom"/>
            <w:hideMark/>
          </w:tcPr>
          <w:p w14:paraId="0E4D77CE"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0.06</w:t>
            </w:r>
          </w:p>
        </w:tc>
      </w:tr>
      <w:tr w:rsidR="00967C16" w:rsidRPr="00967C16" w14:paraId="784039B7" w14:textId="77777777" w:rsidTr="00122B3E">
        <w:trPr>
          <w:trHeight w:val="320"/>
          <w:jc w:val="center"/>
        </w:trPr>
        <w:tc>
          <w:tcPr>
            <w:tcW w:w="2043" w:type="dxa"/>
            <w:shd w:val="clear" w:color="auto" w:fill="auto"/>
            <w:noWrap/>
            <w:vAlign w:val="bottom"/>
            <w:hideMark/>
          </w:tcPr>
          <w:p w14:paraId="328B9A0A" w14:textId="08C95147"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Flavobacteriales</w:t>
            </w:r>
            <w:proofErr w:type="spellEnd"/>
          </w:p>
        </w:tc>
        <w:tc>
          <w:tcPr>
            <w:tcW w:w="2202" w:type="dxa"/>
            <w:shd w:val="clear" w:color="auto" w:fill="auto"/>
            <w:noWrap/>
            <w:vAlign w:val="bottom"/>
            <w:hideMark/>
          </w:tcPr>
          <w:p w14:paraId="30A14A46" w14:textId="5CE0F93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Flavobacteriaceae</w:t>
            </w:r>
            <w:proofErr w:type="spellEnd"/>
          </w:p>
        </w:tc>
        <w:tc>
          <w:tcPr>
            <w:tcW w:w="2030" w:type="dxa"/>
            <w:shd w:val="clear" w:color="auto" w:fill="auto"/>
            <w:noWrap/>
            <w:vAlign w:val="bottom"/>
            <w:hideMark/>
          </w:tcPr>
          <w:p w14:paraId="36AB34B3" w14:textId="3A0C0C57"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Flavobacterium</w:t>
            </w:r>
          </w:p>
        </w:tc>
        <w:tc>
          <w:tcPr>
            <w:tcW w:w="1530" w:type="dxa"/>
            <w:shd w:val="clear" w:color="auto" w:fill="auto"/>
            <w:noWrap/>
            <w:vAlign w:val="bottom"/>
            <w:hideMark/>
          </w:tcPr>
          <w:p w14:paraId="611185A0"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0.06</w:t>
            </w:r>
          </w:p>
        </w:tc>
      </w:tr>
      <w:tr w:rsidR="00967C16" w:rsidRPr="00967C16" w14:paraId="44871685" w14:textId="77777777" w:rsidTr="00122B3E">
        <w:trPr>
          <w:trHeight w:val="320"/>
          <w:jc w:val="center"/>
        </w:trPr>
        <w:tc>
          <w:tcPr>
            <w:tcW w:w="2043" w:type="dxa"/>
            <w:tcBorders>
              <w:bottom w:val="nil"/>
            </w:tcBorders>
            <w:shd w:val="clear" w:color="auto" w:fill="F2F2F2" w:themeFill="background1" w:themeFillShade="F2"/>
            <w:noWrap/>
            <w:vAlign w:val="bottom"/>
            <w:hideMark/>
          </w:tcPr>
          <w:p w14:paraId="54F58198" w14:textId="368BD578"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Enterobacteriales</w:t>
            </w:r>
            <w:proofErr w:type="spellEnd"/>
          </w:p>
        </w:tc>
        <w:tc>
          <w:tcPr>
            <w:tcW w:w="2202" w:type="dxa"/>
            <w:tcBorders>
              <w:bottom w:val="nil"/>
            </w:tcBorders>
            <w:shd w:val="clear" w:color="auto" w:fill="F2F2F2" w:themeFill="background1" w:themeFillShade="F2"/>
            <w:noWrap/>
            <w:vAlign w:val="bottom"/>
            <w:hideMark/>
          </w:tcPr>
          <w:p w14:paraId="69799476" w14:textId="00C3F6FD"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Enterobacteriaceae</w:t>
            </w:r>
          </w:p>
        </w:tc>
        <w:tc>
          <w:tcPr>
            <w:tcW w:w="2030" w:type="dxa"/>
            <w:tcBorders>
              <w:bottom w:val="nil"/>
            </w:tcBorders>
            <w:shd w:val="clear" w:color="auto" w:fill="F2F2F2" w:themeFill="background1" w:themeFillShade="F2"/>
            <w:noWrap/>
            <w:vAlign w:val="bottom"/>
            <w:hideMark/>
          </w:tcPr>
          <w:p w14:paraId="78415073" w14:textId="2B4B9013"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NA</w:t>
            </w:r>
          </w:p>
        </w:tc>
        <w:tc>
          <w:tcPr>
            <w:tcW w:w="1530" w:type="dxa"/>
            <w:tcBorders>
              <w:bottom w:val="nil"/>
            </w:tcBorders>
            <w:shd w:val="clear" w:color="auto" w:fill="F2F2F2" w:themeFill="background1" w:themeFillShade="F2"/>
            <w:noWrap/>
            <w:vAlign w:val="bottom"/>
            <w:hideMark/>
          </w:tcPr>
          <w:p w14:paraId="7CB846F5"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0.06</w:t>
            </w:r>
          </w:p>
        </w:tc>
      </w:tr>
    </w:tbl>
    <w:tbl>
      <w:tblPr>
        <w:tblpPr w:leftFromText="180" w:rightFromText="180" w:vertAnchor="text" w:horzAnchor="margin" w:tblpXSpec="center" w:tblpY="361"/>
        <w:tblW w:w="7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2188"/>
        <w:gridCol w:w="2016"/>
        <w:gridCol w:w="1530"/>
      </w:tblGrid>
      <w:tr w:rsidR="00967C16" w:rsidRPr="002609CD" w14:paraId="1AE89E99" w14:textId="77777777" w:rsidTr="00967C16">
        <w:trPr>
          <w:trHeight w:val="320"/>
        </w:trPr>
        <w:tc>
          <w:tcPr>
            <w:tcW w:w="2001" w:type="dxa"/>
            <w:tcBorders>
              <w:top w:val="nil"/>
            </w:tcBorders>
            <w:shd w:val="clear" w:color="auto" w:fill="auto"/>
            <w:noWrap/>
            <w:vAlign w:val="bottom"/>
            <w:hideMark/>
          </w:tcPr>
          <w:p w14:paraId="74F7C54E" w14:textId="1B996210"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lastRenderedPageBreak/>
              <w:t>Pseudomonadales</w:t>
            </w:r>
            <w:proofErr w:type="spellEnd"/>
          </w:p>
        </w:tc>
        <w:tc>
          <w:tcPr>
            <w:tcW w:w="2188" w:type="dxa"/>
            <w:tcBorders>
              <w:top w:val="nil"/>
            </w:tcBorders>
            <w:shd w:val="clear" w:color="auto" w:fill="auto"/>
            <w:noWrap/>
            <w:vAlign w:val="bottom"/>
            <w:hideMark/>
          </w:tcPr>
          <w:p w14:paraId="605933F9" w14:textId="34D566C3"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rPr>
              <w:t>Pseudomonadaceae</w:t>
            </w:r>
          </w:p>
        </w:tc>
        <w:tc>
          <w:tcPr>
            <w:tcW w:w="2016" w:type="dxa"/>
            <w:tcBorders>
              <w:top w:val="nil"/>
            </w:tcBorders>
            <w:shd w:val="clear" w:color="auto" w:fill="auto"/>
            <w:noWrap/>
            <w:vAlign w:val="bottom"/>
            <w:hideMark/>
          </w:tcPr>
          <w:p w14:paraId="592BD436" w14:textId="5824D9D5"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Pseudomonas</w:t>
            </w:r>
          </w:p>
        </w:tc>
        <w:tc>
          <w:tcPr>
            <w:tcW w:w="1530" w:type="dxa"/>
            <w:tcBorders>
              <w:top w:val="nil"/>
            </w:tcBorders>
            <w:shd w:val="clear" w:color="auto" w:fill="auto"/>
            <w:noWrap/>
            <w:vAlign w:val="bottom"/>
            <w:hideMark/>
          </w:tcPr>
          <w:p w14:paraId="01790605"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0.03</w:t>
            </w:r>
          </w:p>
        </w:tc>
      </w:tr>
      <w:tr w:rsidR="00967C16" w:rsidRPr="002609CD" w14:paraId="0C2A4A62" w14:textId="77777777" w:rsidTr="00725209">
        <w:trPr>
          <w:trHeight w:val="320"/>
        </w:trPr>
        <w:tc>
          <w:tcPr>
            <w:tcW w:w="2001" w:type="dxa"/>
            <w:shd w:val="clear" w:color="auto" w:fill="F2F2F2" w:themeFill="background1" w:themeFillShade="F2"/>
            <w:noWrap/>
            <w:vAlign w:val="bottom"/>
          </w:tcPr>
          <w:p w14:paraId="69191093" w14:textId="71F90E26"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Bacillales</w:t>
            </w:r>
            <w:proofErr w:type="spellEnd"/>
          </w:p>
        </w:tc>
        <w:tc>
          <w:tcPr>
            <w:tcW w:w="2188" w:type="dxa"/>
            <w:shd w:val="clear" w:color="auto" w:fill="F2F2F2" w:themeFill="background1" w:themeFillShade="F2"/>
            <w:noWrap/>
            <w:vAlign w:val="bottom"/>
          </w:tcPr>
          <w:p w14:paraId="019DB734" w14:textId="024BA754"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Staphylococcaceae</w:t>
            </w:r>
            <w:proofErr w:type="spellEnd"/>
          </w:p>
        </w:tc>
        <w:tc>
          <w:tcPr>
            <w:tcW w:w="2016" w:type="dxa"/>
            <w:shd w:val="clear" w:color="auto" w:fill="F2F2F2" w:themeFill="background1" w:themeFillShade="F2"/>
            <w:noWrap/>
            <w:vAlign w:val="bottom"/>
          </w:tcPr>
          <w:p w14:paraId="1A89EEF4" w14:textId="71CA69E6" w:rsidR="00967C16" w:rsidRPr="00967C16" w:rsidRDefault="00967C16" w:rsidP="00967C16">
            <w:pPr>
              <w:jc w:val="center"/>
              <w:rPr>
                <w:rFonts w:ascii="Times New Roman" w:hAnsi="Times New Roman" w:cs="Times New Roman"/>
                <w:i/>
                <w:iCs/>
                <w:color w:val="000000"/>
              </w:rPr>
            </w:pPr>
            <w:r w:rsidRPr="00967C16">
              <w:rPr>
                <w:rFonts w:ascii="Times New Roman" w:hAnsi="Times New Roman" w:cs="Times New Roman"/>
                <w:i/>
                <w:iCs/>
                <w:color w:val="000000"/>
              </w:rPr>
              <w:t>Staphylococcus</w:t>
            </w:r>
          </w:p>
        </w:tc>
        <w:tc>
          <w:tcPr>
            <w:tcW w:w="1530" w:type="dxa"/>
            <w:shd w:val="clear" w:color="auto" w:fill="F2F2F2" w:themeFill="background1" w:themeFillShade="F2"/>
            <w:noWrap/>
            <w:vAlign w:val="bottom"/>
          </w:tcPr>
          <w:p w14:paraId="38A0CECC"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0.03</w:t>
            </w:r>
          </w:p>
        </w:tc>
      </w:tr>
      <w:tr w:rsidR="00967C16" w:rsidRPr="002609CD" w14:paraId="03572981" w14:textId="77777777" w:rsidTr="00967C16">
        <w:trPr>
          <w:trHeight w:val="320"/>
        </w:trPr>
        <w:tc>
          <w:tcPr>
            <w:tcW w:w="2001" w:type="dxa"/>
            <w:shd w:val="clear" w:color="auto" w:fill="auto"/>
            <w:noWrap/>
            <w:vAlign w:val="bottom"/>
          </w:tcPr>
          <w:p w14:paraId="4D743A70" w14:textId="225BD47E"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Flavobacteriales</w:t>
            </w:r>
            <w:proofErr w:type="spellEnd"/>
          </w:p>
        </w:tc>
        <w:tc>
          <w:tcPr>
            <w:tcW w:w="2188" w:type="dxa"/>
            <w:shd w:val="clear" w:color="auto" w:fill="auto"/>
            <w:noWrap/>
            <w:vAlign w:val="bottom"/>
          </w:tcPr>
          <w:p w14:paraId="7EF2B44C" w14:textId="184DB249"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Flavobacteriaceae</w:t>
            </w:r>
            <w:proofErr w:type="spellEnd"/>
          </w:p>
        </w:tc>
        <w:tc>
          <w:tcPr>
            <w:tcW w:w="2016" w:type="dxa"/>
            <w:shd w:val="clear" w:color="auto" w:fill="auto"/>
            <w:noWrap/>
            <w:vAlign w:val="bottom"/>
          </w:tcPr>
          <w:p w14:paraId="3FFBD11A" w14:textId="363D6C1A" w:rsidR="00967C16" w:rsidRPr="00967C16" w:rsidRDefault="00967C16" w:rsidP="00967C16">
            <w:pPr>
              <w:jc w:val="center"/>
              <w:rPr>
                <w:rFonts w:ascii="Times New Roman" w:hAnsi="Times New Roman" w:cs="Times New Roman"/>
                <w:i/>
                <w:iCs/>
                <w:color w:val="000000"/>
                <w:sz w:val="22"/>
                <w:szCs w:val="22"/>
              </w:rPr>
            </w:pPr>
            <w:proofErr w:type="spellStart"/>
            <w:r w:rsidRPr="00967C16">
              <w:rPr>
                <w:rFonts w:ascii="Times New Roman" w:hAnsi="Times New Roman" w:cs="Times New Roman"/>
                <w:i/>
                <w:iCs/>
                <w:color w:val="000000"/>
              </w:rPr>
              <w:t>Elizabethkingia</w:t>
            </w:r>
            <w:proofErr w:type="spellEnd"/>
          </w:p>
        </w:tc>
        <w:tc>
          <w:tcPr>
            <w:tcW w:w="1530" w:type="dxa"/>
            <w:shd w:val="clear" w:color="auto" w:fill="auto"/>
            <w:noWrap/>
            <w:vAlign w:val="bottom"/>
          </w:tcPr>
          <w:p w14:paraId="3A91B846" w14:textId="77777777" w:rsidR="00967C16" w:rsidRPr="00967C16" w:rsidRDefault="00967C16" w:rsidP="00967C16">
            <w:pPr>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0.03</w:t>
            </w:r>
          </w:p>
        </w:tc>
      </w:tr>
      <w:tr w:rsidR="00967C16" w:rsidRPr="002609CD" w14:paraId="5AED4416" w14:textId="77777777" w:rsidTr="00725209">
        <w:trPr>
          <w:trHeight w:val="320"/>
        </w:trPr>
        <w:tc>
          <w:tcPr>
            <w:tcW w:w="2001" w:type="dxa"/>
            <w:shd w:val="clear" w:color="auto" w:fill="F2F2F2" w:themeFill="background1" w:themeFillShade="F2"/>
            <w:noWrap/>
            <w:vAlign w:val="bottom"/>
          </w:tcPr>
          <w:p w14:paraId="41DFE5B2" w14:textId="6BDF5AD5"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Actinomycetales</w:t>
            </w:r>
            <w:proofErr w:type="spellEnd"/>
          </w:p>
        </w:tc>
        <w:tc>
          <w:tcPr>
            <w:tcW w:w="2188" w:type="dxa"/>
            <w:shd w:val="clear" w:color="auto" w:fill="F2F2F2" w:themeFill="background1" w:themeFillShade="F2"/>
            <w:noWrap/>
            <w:vAlign w:val="bottom"/>
          </w:tcPr>
          <w:p w14:paraId="457BC178" w14:textId="60B94ACF" w:rsidR="00967C16" w:rsidRPr="00967C16" w:rsidRDefault="00967C16" w:rsidP="00967C16">
            <w:pPr>
              <w:jc w:val="center"/>
              <w:rPr>
                <w:rFonts w:ascii="Times New Roman" w:hAnsi="Times New Roman" w:cs="Times New Roman"/>
                <w:color w:val="000000"/>
                <w:sz w:val="22"/>
                <w:szCs w:val="22"/>
              </w:rPr>
            </w:pPr>
            <w:proofErr w:type="spellStart"/>
            <w:r w:rsidRPr="00967C16">
              <w:rPr>
                <w:rFonts w:ascii="Times New Roman" w:hAnsi="Times New Roman" w:cs="Times New Roman"/>
                <w:color w:val="000000"/>
              </w:rPr>
              <w:t>Micrococcaceae</w:t>
            </w:r>
            <w:proofErr w:type="spellEnd"/>
          </w:p>
        </w:tc>
        <w:tc>
          <w:tcPr>
            <w:tcW w:w="2016" w:type="dxa"/>
            <w:shd w:val="clear" w:color="auto" w:fill="F2F2F2" w:themeFill="background1" w:themeFillShade="F2"/>
            <w:noWrap/>
            <w:vAlign w:val="bottom"/>
          </w:tcPr>
          <w:p w14:paraId="37B9F056" w14:textId="725D5579" w:rsidR="00967C16" w:rsidRPr="00967C16" w:rsidRDefault="00967C16" w:rsidP="00967C16">
            <w:pPr>
              <w:jc w:val="center"/>
              <w:rPr>
                <w:rFonts w:ascii="Times New Roman" w:hAnsi="Times New Roman" w:cs="Times New Roman"/>
                <w:i/>
                <w:iCs/>
                <w:color w:val="000000"/>
                <w:sz w:val="22"/>
                <w:szCs w:val="22"/>
              </w:rPr>
            </w:pPr>
            <w:r w:rsidRPr="00967C16">
              <w:rPr>
                <w:rFonts w:ascii="Times New Roman" w:hAnsi="Times New Roman" w:cs="Times New Roman"/>
                <w:i/>
                <w:iCs/>
                <w:color w:val="000000"/>
              </w:rPr>
              <w:t>Micrococcus</w:t>
            </w:r>
          </w:p>
        </w:tc>
        <w:tc>
          <w:tcPr>
            <w:tcW w:w="1530" w:type="dxa"/>
            <w:shd w:val="clear" w:color="auto" w:fill="F2F2F2" w:themeFill="background1" w:themeFillShade="F2"/>
            <w:noWrap/>
            <w:vAlign w:val="bottom"/>
          </w:tcPr>
          <w:p w14:paraId="7345E19D" w14:textId="77777777" w:rsidR="00967C16" w:rsidRPr="00967C16" w:rsidRDefault="00967C16" w:rsidP="00967C16">
            <w:pPr>
              <w:keepNext/>
              <w:jc w:val="center"/>
              <w:rPr>
                <w:rFonts w:ascii="Times New Roman" w:hAnsi="Times New Roman" w:cs="Times New Roman"/>
                <w:color w:val="000000"/>
                <w:sz w:val="22"/>
                <w:szCs w:val="22"/>
              </w:rPr>
            </w:pPr>
            <w:r w:rsidRPr="00967C16">
              <w:rPr>
                <w:rFonts w:ascii="Times New Roman" w:hAnsi="Times New Roman" w:cs="Times New Roman"/>
                <w:color w:val="000000"/>
                <w:sz w:val="22"/>
                <w:szCs w:val="22"/>
              </w:rPr>
              <w:t>0.03</w:t>
            </w:r>
          </w:p>
        </w:tc>
      </w:tr>
    </w:tbl>
    <w:p w14:paraId="74A2F65B" w14:textId="3C71E264" w:rsidR="008D1DE7" w:rsidRPr="00B24BE4" w:rsidRDefault="00637B15" w:rsidP="00A26202">
      <w:pPr>
        <w:rPr>
          <w:rFonts w:ascii="Times New Roman" w:hAnsi="Times New Roman" w:cs="Times New Roman"/>
        </w:rPr>
      </w:pPr>
      <w:r w:rsidRPr="00B24BE4">
        <w:rPr>
          <w:rFonts w:ascii="Times New Roman" w:hAnsi="Times New Roman" w:cs="Times New Roman"/>
        </w:rPr>
        <w:t>Table A4 Continued</w:t>
      </w:r>
    </w:p>
    <w:p w14:paraId="3F838A58" w14:textId="77777777" w:rsidR="00637B15" w:rsidRDefault="00637B15" w:rsidP="008D1DE7">
      <w:pPr>
        <w:pStyle w:val="Heading1"/>
      </w:pPr>
    </w:p>
    <w:p w14:paraId="44201EDA" w14:textId="77777777" w:rsidR="00637B15" w:rsidRPr="00637B15" w:rsidRDefault="00637B15" w:rsidP="00637B15"/>
    <w:p w14:paraId="50EF92BC" w14:textId="77777777" w:rsidR="00637B15" w:rsidRDefault="00637B15" w:rsidP="008D1DE7">
      <w:pPr>
        <w:pStyle w:val="Heading1"/>
      </w:pPr>
    </w:p>
    <w:p w14:paraId="187E491E" w14:textId="77777777" w:rsidR="00637B15" w:rsidRDefault="00637B15" w:rsidP="00637B15">
      <w:pPr>
        <w:pStyle w:val="Heading1"/>
        <w:tabs>
          <w:tab w:val="left" w:pos="2400"/>
        </w:tabs>
        <w:jc w:val="left"/>
      </w:pPr>
      <w:r>
        <w:tab/>
      </w:r>
    </w:p>
    <w:p w14:paraId="676AC19F" w14:textId="422ECD14" w:rsidR="00637B15" w:rsidRDefault="00637B15" w:rsidP="00637B15">
      <w:pPr>
        <w:pStyle w:val="Heading1"/>
        <w:tabs>
          <w:tab w:val="left" w:pos="2400"/>
        </w:tabs>
        <w:jc w:val="left"/>
      </w:pPr>
    </w:p>
    <w:p w14:paraId="5D7C6F43" w14:textId="77777777" w:rsidR="00967C16" w:rsidRDefault="00967C16" w:rsidP="00967C16"/>
    <w:p w14:paraId="7171E862" w14:textId="77777777" w:rsidR="00967C16" w:rsidRPr="00967C16" w:rsidRDefault="00967C16" w:rsidP="00967C16"/>
    <w:p w14:paraId="20C118A3" w14:textId="10E2DD40" w:rsidR="00C57BCC" w:rsidRDefault="00C57BCC" w:rsidP="00A961B9">
      <w:pPr>
        <w:pStyle w:val="Heading1"/>
      </w:pPr>
      <w:r w:rsidRPr="00637B15">
        <w:br w:type="page"/>
      </w:r>
    </w:p>
    <w:p w14:paraId="29028C9D" w14:textId="77777777" w:rsidR="00D82873" w:rsidRPr="00D82873" w:rsidRDefault="00D82873" w:rsidP="00D82873"/>
    <w:p w14:paraId="3399E820" w14:textId="77777777" w:rsidR="00236E6D" w:rsidRPr="00DF7C87" w:rsidRDefault="00526151" w:rsidP="005E54E2">
      <w:pPr>
        <w:pStyle w:val="Heading1"/>
        <w:rPr>
          <w:rFonts w:ascii="Times New Roman" w:hAnsi="Times New Roman" w:cs="Times New Roman"/>
          <w:szCs w:val="28"/>
        </w:rPr>
      </w:pPr>
      <w:bookmarkStart w:id="212" w:name="_Toc289175845"/>
      <w:bookmarkStart w:id="213" w:name="_Toc165028097"/>
      <w:r w:rsidRPr="00DF7C87">
        <w:rPr>
          <w:rFonts w:ascii="Times New Roman" w:hAnsi="Times New Roman" w:cs="Times New Roman"/>
          <w:szCs w:val="28"/>
        </w:rPr>
        <w:t>VITA</w:t>
      </w:r>
      <w:bookmarkEnd w:id="212"/>
      <w:bookmarkEnd w:id="213"/>
    </w:p>
    <w:p w14:paraId="326ADE54" w14:textId="77777777" w:rsidR="003D63DF" w:rsidRPr="00DF7C87" w:rsidRDefault="003D63DF" w:rsidP="005E54E2">
      <w:pPr>
        <w:rPr>
          <w:rFonts w:ascii="Times New Roman" w:hAnsi="Times New Roman" w:cs="Times New Roman"/>
        </w:rPr>
      </w:pPr>
    </w:p>
    <w:p w14:paraId="48E01A07" w14:textId="3D446390" w:rsidR="003D63DF" w:rsidRPr="00DF7C87" w:rsidRDefault="00D737BC" w:rsidP="0003672C">
      <w:pPr>
        <w:rPr>
          <w:rFonts w:ascii="Times New Roman" w:hAnsi="Times New Roman" w:cs="Times New Roman"/>
        </w:rPr>
      </w:pPr>
      <w:r>
        <w:rPr>
          <w:rFonts w:ascii="Times New Roman" w:hAnsi="Times New Roman" w:cs="Times New Roman"/>
        </w:rPr>
        <w:t>Benjamin Holt is originally from Knoxville, Tennessee, and received a B.S. in Biology from East Tennessee State University as well as a minor in Geographical Information Systems. While not doing fieldwork, his hobbies include hiking with his beloved Catahoula, Stella</w:t>
      </w:r>
      <w:r w:rsidR="006E4F5D">
        <w:rPr>
          <w:rFonts w:ascii="Times New Roman" w:hAnsi="Times New Roman" w:cs="Times New Roman"/>
        </w:rPr>
        <w:t xml:space="preserve">, </w:t>
      </w:r>
      <w:r>
        <w:rPr>
          <w:rFonts w:ascii="Times New Roman" w:hAnsi="Times New Roman" w:cs="Times New Roman"/>
        </w:rPr>
        <w:t xml:space="preserve">and fly fishing. He uses </w:t>
      </w:r>
      <w:r w:rsidR="006E4F5D">
        <w:rPr>
          <w:rFonts w:ascii="Times New Roman" w:hAnsi="Times New Roman" w:cs="Times New Roman"/>
        </w:rPr>
        <w:t xml:space="preserve">a plethora of field and laboratory techniques in tandem with molecular and computational </w:t>
      </w:r>
      <w:r w:rsidR="00CA5207">
        <w:rPr>
          <w:rFonts w:ascii="Times New Roman" w:hAnsi="Times New Roman" w:cs="Times New Roman"/>
        </w:rPr>
        <w:t>technologies</w:t>
      </w:r>
      <w:r w:rsidR="006E4F5D">
        <w:rPr>
          <w:rFonts w:ascii="Times New Roman" w:hAnsi="Times New Roman" w:cs="Times New Roman"/>
        </w:rPr>
        <w:t xml:space="preserve"> to answer an array of questions spanning ecology and evolutionary biology, </w:t>
      </w:r>
      <w:r w:rsidR="00380710">
        <w:rPr>
          <w:rFonts w:ascii="Times New Roman" w:hAnsi="Times New Roman" w:cs="Times New Roman"/>
        </w:rPr>
        <w:t>particularly organisms in freshwater environments.</w:t>
      </w:r>
      <w:r w:rsidR="00A93654">
        <w:rPr>
          <w:rFonts w:ascii="Times New Roman" w:hAnsi="Times New Roman" w:cs="Times New Roman"/>
        </w:rPr>
        <w:t xml:space="preserve"> </w:t>
      </w:r>
    </w:p>
    <w:sectPr w:rsidR="003D63DF" w:rsidRPr="00DF7C87" w:rsidSect="00457804">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6D6F4" w14:textId="77777777" w:rsidR="00457804" w:rsidRDefault="00457804" w:rsidP="005E54E2">
      <w:r>
        <w:separator/>
      </w:r>
    </w:p>
    <w:p w14:paraId="703103D6" w14:textId="77777777" w:rsidR="00457804" w:rsidRDefault="00457804" w:rsidP="005E54E2"/>
    <w:p w14:paraId="236D2799" w14:textId="77777777" w:rsidR="00457804" w:rsidRDefault="00457804" w:rsidP="005E54E2"/>
    <w:p w14:paraId="2D94DFFD" w14:textId="77777777" w:rsidR="00457804" w:rsidRDefault="00457804" w:rsidP="005E54E2"/>
  </w:endnote>
  <w:endnote w:type="continuationSeparator" w:id="0">
    <w:p w14:paraId="19AADE92" w14:textId="77777777" w:rsidR="00457804" w:rsidRDefault="00457804" w:rsidP="005E54E2">
      <w:r>
        <w:continuationSeparator/>
      </w:r>
    </w:p>
    <w:p w14:paraId="4B2945D4" w14:textId="77777777" w:rsidR="00457804" w:rsidRDefault="00457804" w:rsidP="005E54E2"/>
    <w:p w14:paraId="0968B81A" w14:textId="77777777" w:rsidR="00457804" w:rsidRDefault="00457804" w:rsidP="005E54E2"/>
    <w:p w14:paraId="116B6802" w14:textId="77777777" w:rsidR="00457804" w:rsidRDefault="00457804"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Body)">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90616479"/>
      <w:docPartObj>
        <w:docPartGallery w:val="Page Numbers (Bottom of Page)"/>
        <w:docPartUnique/>
      </w:docPartObj>
    </w:sdtPr>
    <w:sdtContent>
      <w:p w14:paraId="167C51D1" w14:textId="4B885B33" w:rsidR="00546D56" w:rsidRDefault="00546D56" w:rsidP="00707E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963EA">
          <w:rPr>
            <w:rStyle w:val="PageNumber"/>
            <w:noProof/>
          </w:rPr>
          <w:t>61</w:t>
        </w:r>
        <w:r>
          <w:rPr>
            <w:rStyle w:val="PageNumber"/>
          </w:rPr>
          <w:fldChar w:fldCharType="end"/>
        </w:r>
      </w:p>
    </w:sdtContent>
  </w:sdt>
  <w:sdt>
    <w:sdtPr>
      <w:rPr>
        <w:rStyle w:val="PageNumber"/>
      </w:rPr>
      <w:id w:val="632990791"/>
      <w:docPartObj>
        <w:docPartGallery w:val="Page Numbers (Bottom of Page)"/>
        <w:docPartUnique/>
      </w:docPartObj>
    </w:sdtPr>
    <w:sdtContent>
      <w:p w14:paraId="156EAC12" w14:textId="5B3CD849" w:rsidR="00546D56" w:rsidRDefault="00546D56" w:rsidP="00707E58">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9963EA">
          <w:rPr>
            <w:rStyle w:val="PageNumber"/>
            <w:noProof/>
          </w:rPr>
          <w:t>61</w:t>
        </w:r>
        <w:r>
          <w:rPr>
            <w:rStyle w:val="PageNumber"/>
          </w:rPr>
          <w:fldChar w:fldCharType="end"/>
        </w:r>
      </w:p>
    </w:sdtContent>
  </w:sdt>
  <w:p w14:paraId="6CBB2BE7" w14:textId="77777777" w:rsidR="00546D56" w:rsidRDefault="00546D56" w:rsidP="00546D5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934979361"/>
      <w:docPartObj>
        <w:docPartGallery w:val="Page Numbers (Bottom of Page)"/>
        <w:docPartUnique/>
      </w:docPartObj>
    </w:sdtPr>
    <w:sdtContent>
      <w:p w14:paraId="032F1487" w14:textId="42EBE2AF" w:rsidR="00546D56" w:rsidRPr="00B72CBC" w:rsidRDefault="00546D56" w:rsidP="00707E58">
        <w:pPr>
          <w:pStyle w:val="Footer"/>
          <w:framePr w:wrap="none" w:vAnchor="text" w:hAnchor="margin" w:xAlign="right" w:y="1"/>
          <w:rPr>
            <w:rStyle w:val="PageNumber"/>
            <w:rFonts w:ascii="Times New Roman" w:hAnsi="Times New Roman" w:cs="Times New Roman"/>
          </w:rPr>
        </w:pPr>
        <w:r w:rsidRPr="00B72CBC">
          <w:rPr>
            <w:rStyle w:val="PageNumber"/>
            <w:rFonts w:ascii="Times New Roman" w:hAnsi="Times New Roman" w:cs="Times New Roman"/>
          </w:rPr>
          <w:fldChar w:fldCharType="begin"/>
        </w:r>
        <w:r w:rsidRPr="00B72CBC">
          <w:rPr>
            <w:rStyle w:val="PageNumber"/>
            <w:rFonts w:ascii="Times New Roman" w:hAnsi="Times New Roman" w:cs="Times New Roman"/>
          </w:rPr>
          <w:instrText xml:space="preserve"> PAGE </w:instrText>
        </w:r>
        <w:r w:rsidRPr="00B72CBC">
          <w:rPr>
            <w:rStyle w:val="PageNumber"/>
            <w:rFonts w:ascii="Times New Roman" w:hAnsi="Times New Roman" w:cs="Times New Roman"/>
          </w:rPr>
          <w:fldChar w:fldCharType="separate"/>
        </w:r>
        <w:r w:rsidRPr="00B72CBC">
          <w:rPr>
            <w:rStyle w:val="PageNumber"/>
            <w:rFonts w:ascii="Times New Roman" w:hAnsi="Times New Roman" w:cs="Times New Roman"/>
            <w:noProof/>
          </w:rPr>
          <w:t>i</w:t>
        </w:r>
        <w:r w:rsidRPr="00B72CBC">
          <w:rPr>
            <w:rStyle w:val="PageNumber"/>
            <w:rFonts w:ascii="Times New Roman" w:hAnsi="Times New Roman" w:cs="Times New Roman"/>
          </w:rPr>
          <w:fldChar w:fldCharType="end"/>
        </w:r>
      </w:p>
    </w:sdtContent>
  </w:sdt>
  <w:p w14:paraId="4E23D9A0" w14:textId="4552590D" w:rsidR="00387656" w:rsidRDefault="00387656" w:rsidP="00546D56">
    <w:pPr>
      <w:pStyle w:val="Footer"/>
      <w:ind w:right="360"/>
      <w:jc w:val="right"/>
    </w:pPr>
  </w:p>
  <w:p w14:paraId="5060BF4B"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846AA" w14:textId="77777777" w:rsidR="00457804" w:rsidRDefault="00457804" w:rsidP="005E54E2">
      <w:r>
        <w:separator/>
      </w:r>
    </w:p>
    <w:p w14:paraId="269BADD1" w14:textId="77777777" w:rsidR="00457804" w:rsidRDefault="00457804" w:rsidP="005E54E2"/>
    <w:p w14:paraId="3D67FE65" w14:textId="77777777" w:rsidR="00457804" w:rsidRDefault="00457804" w:rsidP="005E54E2"/>
    <w:p w14:paraId="59974FDE" w14:textId="77777777" w:rsidR="00457804" w:rsidRDefault="00457804" w:rsidP="005E54E2"/>
  </w:footnote>
  <w:footnote w:type="continuationSeparator" w:id="0">
    <w:p w14:paraId="5223D231" w14:textId="77777777" w:rsidR="00457804" w:rsidRDefault="00457804" w:rsidP="005E54E2">
      <w:r>
        <w:continuationSeparator/>
      </w:r>
    </w:p>
    <w:p w14:paraId="43438C59" w14:textId="77777777" w:rsidR="00457804" w:rsidRDefault="00457804" w:rsidP="005E54E2"/>
    <w:p w14:paraId="116C176A" w14:textId="77777777" w:rsidR="00457804" w:rsidRDefault="00457804" w:rsidP="005E54E2"/>
    <w:p w14:paraId="7ACAF241" w14:textId="77777777" w:rsidR="00457804" w:rsidRDefault="00457804"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83693"/>
    <w:multiLevelType w:val="hybridMultilevel"/>
    <w:tmpl w:val="A78C11F4"/>
    <w:lvl w:ilvl="0" w:tplc="2FE4AE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A5FFF"/>
    <w:multiLevelType w:val="multilevel"/>
    <w:tmpl w:val="2B7E0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16514164">
    <w:abstractNumId w:val="1"/>
  </w:num>
  <w:num w:numId="2" w16cid:durableId="6438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87"/>
    <w:rsid w:val="00000910"/>
    <w:rsid w:val="00003183"/>
    <w:rsid w:val="000033A9"/>
    <w:rsid w:val="00003F6A"/>
    <w:rsid w:val="0000526E"/>
    <w:rsid w:val="00006494"/>
    <w:rsid w:val="00014805"/>
    <w:rsid w:val="00014A3E"/>
    <w:rsid w:val="000156E9"/>
    <w:rsid w:val="000166A9"/>
    <w:rsid w:val="00017BA9"/>
    <w:rsid w:val="000257F0"/>
    <w:rsid w:val="000349A0"/>
    <w:rsid w:val="0003672C"/>
    <w:rsid w:val="0003765E"/>
    <w:rsid w:val="0003798D"/>
    <w:rsid w:val="000402B0"/>
    <w:rsid w:val="000405EB"/>
    <w:rsid w:val="000414CD"/>
    <w:rsid w:val="00054D6F"/>
    <w:rsid w:val="00057004"/>
    <w:rsid w:val="00060A6A"/>
    <w:rsid w:val="00060C8E"/>
    <w:rsid w:val="00063AA7"/>
    <w:rsid w:val="0006656F"/>
    <w:rsid w:val="00067F5F"/>
    <w:rsid w:val="00071446"/>
    <w:rsid w:val="00071FB8"/>
    <w:rsid w:val="00072BAE"/>
    <w:rsid w:val="00076A95"/>
    <w:rsid w:val="00077892"/>
    <w:rsid w:val="00083EBD"/>
    <w:rsid w:val="000852FF"/>
    <w:rsid w:val="00095B23"/>
    <w:rsid w:val="000A3382"/>
    <w:rsid w:val="000A508B"/>
    <w:rsid w:val="000B041F"/>
    <w:rsid w:val="000B341F"/>
    <w:rsid w:val="000B4190"/>
    <w:rsid w:val="000B5C42"/>
    <w:rsid w:val="000B78D7"/>
    <w:rsid w:val="000C5C8B"/>
    <w:rsid w:val="000D0B9C"/>
    <w:rsid w:val="000D1025"/>
    <w:rsid w:val="000D1C08"/>
    <w:rsid w:val="000D1D5A"/>
    <w:rsid w:val="000D4D4C"/>
    <w:rsid w:val="000D5074"/>
    <w:rsid w:val="000E2452"/>
    <w:rsid w:val="000E44B4"/>
    <w:rsid w:val="000E45ED"/>
    <w:rsid w:val="000F0ADC"/>
    <w:rsid w:val="000F37D7"/>
    <w:rsid w:val="000F47D5"/>
    <w:rsid w:val="00100CF7"/>
    <w:rsid w:val="0010217F"/>
    <w:rsid w:val="001026F4"/>
    <w:rsid w:val="00102BE0"/>
    <w:rsid w:val="00115EC6"/>
    <w:rsid w:val="001171C9"/>
    <w:rsid w:val="00120404"/>
    <w:rsid w:val="00122B3E"/>
    <w:rsid w:val="0013005A"/>
    <w:rsid w:val="0014052C"/>
    <w:rsid w:val="00141F13"/>
    <w:rsid w:val="00146C93"/>
    <w:rsid w:val="001507A4"/>
    <w:rsid w:val="00160114"/>
    <w:rsid w:val="001613E0"/>
    <w:rsid w:val="001648DD"/>
    <w:rsid w:val="001651BE"/>
    <w:rsid w:val="00167317"/>
    <w:rsid w:val="0016777F"/>
    <w:rsid w:val="00172AE3"/>
    <w:rsid w:val="00174DBE"/>
    <w:rsid w:val="001854FB"/>
    <w:rsid w:val="00187FE8"/>
    <w:rsid w:val="00193642"/>
    <w:rsid w:val="001A2EE0"/>
    <w:rsid w:val="001A4747"/>
    <w:rsid w:val="001A6BA0"/>
    <w:rsid w:val="001B1034"/>
    <w:rsid w:val="001B15E9"/>
    <w:rsid w:val="001C1BEC"/>
    <w:rsid w:val="001C39F6"/>
    <w:rsid w:val="001C5507"/>
    <w:rsid w:val="001C6482"/>
    <w:rsid w:val="001C66FE"/>
    <w:rsid w:val="001C6C27"/>
    <w:rsid w:val="001C7E0F"/>
    <w:rsid w:val="001D0A11"/>
    <w:rsid w:val="001D4826"/>
    <w:rsid w:val="001D4908"/>
    <w:rsid w:val="001D63F5"/>
    <w:rsid w:val="001D6904"/>
    <w:rsid w:val="001E1826"/>
    <w:rsid w:val="001F2C38"/>
    <w:rsid w:val="001F2C98"/>
    <w:rsid w:val="001F43C1"/>
    <w:rsid w:val="001F522F"/>
    <w:rsid w:val="001F7825"/>
    <w:rsid w:val="002065C9"/>
    <w:rsid w:val="00207B9D"/>
    <w:rsid w:val="002124DF"/>
    <w:rsid w:val="0021359B"/>
    <w:rsid w:val="00213790"/>
    <w:rsid w:val="00215C1D"/>
    <w:rsid w:val="00216086"/>
    <w:rsid w:val="0022095B"/>
    <w:rsid w:val="0022210F"/>
    <w:rsid w:val="002243BA"/>
    <w:rsid w:val="00225356"/>
    <w:rsid w:val="00232F9A"/>
    <w:rsid w:val="00236E6D"/>
    <w:rsid w:val="00241E70"/>
    <w:rsid w:val="002429E5"/>
    <w:rsid w:val="002433E1"/>
    <w:rsid w:val="00246351"/>
    <w:rsid w:val="00246AF3"/>
    <w:rsid w:val="002523C9"/>
    <w:rsid w:val="00253A27"/>
    <w:rsid w:val="002579E0"/>
    <w:rsid w:val="002609CD"/>
    <w:rsid w:val="00261B12"/>
    <w:rsid w:val="00264E11"/>
    <w:rsid w:val="002707D2"/>
    <w:rsid w:val="00273BB5"/>
    <w:rsid w:val="00277174"/>
    <w:rsid w:val="00277BF1"/>
    <w:rsid w:val="00280CEF"/>
    <w:rsid w:val="002854C8"/>
    <w:rsid w:val="00285C59"/>
    <w:rsid w:val="0028757A"/>
    <w:rsid w:val="00294113"/>
    <w:rsid w:val="002A1175"/>
    <w:rsid w:val="002A12F0"/>
    <w:rsid w:val="002A3264"/>
    <w:rsid w:val="002A758E"/>
    <w:rsid w:val="002B0949"/>
    <w:rsid w:val="002C5964"/>
    <w:rsid w:val="002D11DA"/>
    <w:rsid w:val="002D1BDA"/>
    <w:rsid w:val="002D49B4"/>
    <w:rsid w:val="002D4A6D"/>
    <w:rsid w:val="002D6851"/>
    <w:rsid w:val="002E0C33"/>
    <w:rsid w:val="002E2492"/>
    <w:rsid w:val="002E26CD"/>
    <w:rsid w:val="002E370B"/>
    <w:rsid w:val="002E4AF8"/>
    <w:rsid w:val="002E5F14"/>
    <w:rsid w:val="002F0B87"/>
    <w:rsid w:val="002F0DCF"/>
    <w:rsid w:val="002F36FF"/>
    <w:rsid w:val="002F4283"/>
    <w:rsid w:val="002F6C76"/>
    <w:rsid w:val="00301AE8"/>
    <w:rsid w:val="00304BD0"/>
    <w:rsid w:val="003050D2"/>
    <w:rsid w:val="0030715E"/>
    <w:rsid w:val="00307D77"/>
    <w:rsid w:val="003103AA"/>
    <w:rsid w:val="00313E9E"/>
    <w:rsid w:val="003150D5"/>
    <w:rsid w:val="00315E0F"/>
    <w:rsid w:val="003206F1"/>
    <w:rsid w:val="00320F78"/>
    <w:rsid w:val="003252D7"/>
    <w:rsid w:val="003342A8"/>
    <w:rsid w:val="00334400"/>
    <w:rsid w:val="003348A6"/>
    <w:rsid w:val="00335871"/>
    <w:rsid w:val="00344770"/>
    <w:rsid w:val="0035031B"/>
    <w:rsid w:val="00352205"/>
    <w:rsid w:val="00354CB3"/>
    <w:rsid w:val="00355DE7"/>
    <w:rsid w:val="0035768F"/>
    <w:rsid w:val="00360864"/>
    <w:rsid w:val="00360B3C"/>
    <w:rsid w:val="0036226A"/>
    <w:rsid w:val="0036251E"/>
    <w:rsid w:val="0036739F"/>
    <w:rsid w:val="00370385"/>
    <w:rsid w:val="00372F2C"/>
    <w:rsid w:val="00373919"/>
    <w:rsid w:val="00375150"/>
    <w:rsid w:val="00380710"/>
    <w:rsid w:val="0038177C"/>
    <w:rsid w:val="003819C7"/>
    <w:rsid w:val="00382192"/>
    <w:rsid w:val="003836EB"/>
    <w:rsid w:val="00384342"/>
    <w:rsid w:val="003858C2"/>
    <w:rsid w:val="00387024"/>
    <w:rsid w:val="00387656"/>
    <w:rsid w:val="0039197A"/>
    <w:rsid w:val="00393E9C"/>
    <w:rsid w:val="00393EDC"/>
    <w:rsid w:val="00394464"/>
    <w:rsid w:val="00397727"/>
    <w:rsid w:val="00397A44"/>
    <w:rsid w:val="003A09EB"/>
    <w:rsid w:val="003A2075"/>
    <w:rsid w:val="003A28C2"/>
    <w:rsid w:val="003A3FFD"/>
    <w:rsid w:val="003B137C"/>
    <w:rsid w:val="003B4495"/>
    <w:rsid w:val="003C06D4"/>
    <w:rsid w:val="003C070F"/>
    <w:rsid w:val="003C0B6C"/>
    <w:rsid w:val="003C1575"/>
    <w:rsid w:val="003C43CF"/>
    <w:rsid w:val="003C60BB"/>
    <w:rsid w:val="003C7440"/>
    <w:rsid w:val="003C7FC5"/>
    <w:rsid w:val="003D07F7"/>
    <w:rsid w:val="003D5275"/>
    <w:rsid w:val="003D58F0"/>
    <w:rsid w:val="003D63DF"/>
    <w:rsid w:val="003D6D96"/>
    <w:rsid w:val="003D737F"/>
    <w:rsid w:val="003E17A0"/>
    <w:rsid w:val="003E3593"/>
    <w:rsid w:val="003F13CB"/>
    <w:rsid w:val="003F4288"/>
    <w:rsid w:val="003F44AD"/>
    <w:rsid w:val="003F49F8"/>
    <w:rsid w:val="003F7474"/>
    <w:rsid w:val="00403FC0"/>
    <w:rsid w:val="00404616"/>
    <w:rsid w:val="0040667D"/>
    <w:rsid w:val="00406F6E"/>
    <w:rsid w:val="0040724B"/>
    <w:rsid w:val="00407B6A"/>
    <w:rsid w:val="00414400"/>
    <w:rsid w:val="0041543D"/>
    <w:rsid w:val="00415D20"/>
    <w:rsid w:val="00420993"/>
    <w:rsid w:val="00421CD4"/>
    <w:rsid w:val="0042282F"/>
    <w:rsid w:val="00422932"/>
    <w:rsid w:val="004229FA"/>
    <w:rsid w:val="0042312E"/>
    <w:rsid w:val="00423887"/>
    <w:rsid w:val="00423EA7"/>
    <w:rsid w:val="004245A2"/>
    <w:rsid w:val="00427833"/>
    <w:rsid w:val="004335E8"/>
    <w:rsid w:val="004358AB"/>
    <w:rsid w:val="004359EC"/>
    <w:rsid w:val="004407B9"/>
    <w:rsid w:val="00440F69"/>
    <w:rsid w:val="0044196E"/>
    <w:rsid w:val="00442291"/>
    <w:rsid w:val="00447FC5"/>
    <w:rsid w:val="00452FA6"/>
    <w:rsid w:val="004534B5"/>
    <w:rsid w:val="00456628"/>
    <w:rsid w:val="00457804"/>
    <w:rsid w:val="00460958"/>
    <w:rsid w:val="00466F47"/>
    <w:rsid w:val="0047148B"/>
    <w:rsid w:val="004721E4"/>
    <w:rsid w:val="00474210"/>
    <w:rsid w:val="00475871"/>
    <w:rsid w:val="00480B17"/>
    <w:rsid w:val="00480B96"/>
    <w:rsid w:val="004827E7"/>
    <w:rsid w:val="0048303E"/>
    <w:rsid w:val="00486487"/>
    <w:rsid w:val="0049004B"/>
    <w:rsid w:val="00491D83"/>
    <w:rsid w:val="004920F6"/>
    <w:rsid w:val="00497636"/>
    <w:rsid w:val="00497FBE"/>
    <w:rsid w:val="004A0174"/>
    <w:rsid w:val="004A6791"/>
    <w:rsid w:val="004A67E8"/>
    <w:rsid w:val="004A6F19"/>
    <w:rsid w:val="004A713B"/>
    <w:rsid w:val="004B074E"/>
    <w:rsid w:val="004B4B2A"/>
    <w:rsid w:val="004B6806"/>
    <w:rsid w:val="004C2071"/>
    <w:rsid w:val="004C3D65"/>
    <w:rsid w:val="004C60C7"/>
    <w:rsid w:val="004D0F76"/>
    <w:rsid w:val="004D2321"/>
    <w:rsid w:val="004D2804"/>
    <w:rsid w:val="004D6472"/>
    <w:rsid w:val="004E179B"/>
    <w:rsid w:val="004E4EEE"/>
    <w:rsid w:val="004E6291"/>
    <w:rsid w:val="004E77C8"/>
    <w:rsid w:val="004F0065"/>
    <w:rsid w:val="004F0407"/>
    <w:rsid w:val="004F302B"/>
    <w:rsid w:val="004F306B"/>
    <w:rsid w:val="004F52A8"/>
    <w:rsid w:val="004F5877"/>
    <w:rsid w:val="004F6557"/>
    <w:rsid w:val="004F6D9F"/>
    <w:rsid w:val="005003FC"/>
    <w:rsid w:val="00503011"/>
    <w:rsid w:val="00503996"/>
    <w:rsid w:val="005049EE"/>
    <w:rsid w:val="005111C1"/>
    <w:rsid w:val="005115BE"/>
    <w:rsid w:val="00513B6B"/>
    <w:rsid w:val="005164B9"/>
    <w:rsid w:val="00520532"/>
    <w:rsid w:val="00522842"/>
    <w:rsid w:val="00523634"/>
    <w:rsid w:val="00526151"/>
    <w:rsid w:val="00526CAD"/>
    <w:rsid w:val="00532CA3"/>
    <w:rsid w:val="00534211"/>
    <w:rsid w:val="00546C75"/>
    <w:rsid w:val="00546D56"/>
    <w:rsid w:val="005500CC"/>
    <w:rsid w:val="00551043"/>
    <w:rsid w:val="00551143"/>
    <w:rsid w:val="00552D39"/>
    <w:rsid w:val="00552E8F"/>
    <w:rsid w:val="00553649"/>
    <w:rsid w:val="00554F91"/>
    <w:rsid w:val="005661CE"/>
    <w:rsid w:val="00566BB0"/>
    <w:rsid w:val="00567845"/>
    <w:rsid w:val="00575F6E"/>
    <w:rsid w:val="0057719C"/>
    <w:rsid w:val="005826EB"/>
    <w:rsid w:val="00583A04"/>
    <w:rsid w:val="00590E01"/>
    <w:rsid w:val="00592A31"/>
    <w:rsid w:val="005966F4"/>
    <w:rsid w:val="00597AD2"/>
    <w:rsid w:val="00597D3F"/>
    <w:rsid w:val="005A1149"/>
    <w:rsid w:val="005A27CB"/>
    <w:rsid w:val="005B3276"/>
    <w:rsid w:val="005B5617"/>
    <w:rsid w:val="005B5C96"/>
    <w:rsid w:val="005B79E9"/>
    <w:rsid w:val="005C5815"/>
    <w:rsid w:val="005C7015"/>
    <w:rsid w:val="005C70DD"/>
    <w:rsid w:val="005D183D"/>
    <w:rsid w:val="005D1BB1"/>
    <w:rsid w:val="005D5057"/>
    <w:rsid w:val="005D7704"/>
    <w:rsid w:val="005E32F5"/>
    <w:rsid w:val="005E4912"/>
    <w:rsid w:val="005E54E2"/>
    <w:rsid w:val="005E6F1F"/>
    <w:rsid w:val="005F2B3F"/>
    <w:rsid w:val="005F2D6C"/>
    <w:rsid w:val="005F44D1"/>
    <w:rsid w:val="005F4A57"/>
    <w:rsid w:val="005F57F9"/>
    <w:rsid w:val="0060346C"/>
    <w:rsid w:val="00606B06"/>
    <w:rsid w:val="00611B90"/>
    <w:rsid w:val="006124B0"/>
    <w:rsid w:val="0061604D"/>
    <w:rsid w:val="00621129"/>
    <w:rsid w:val="0062363E"/>
    <w:rsid w:val="00631091"/>
    <w:rsid w:val="006314BF"/>
    <w:rsid w:val="00631863"/>
    <w:rsid w:val="00633916"/>
    <w:rsid w:val="00633D42"/>
    <w:rsid w:val="00637B15"/>
    <w:rsid w:val="006410C5"/>
    <w:rsid w:val="00641969"/>
    <w:rsid w:val="00641D2B"/>
    <w:rsid w:val="00645C87"/>
    <w:rsid w:val="00652687"/>
    <w:rsid w:val="006546C7"/>
    <w:rsid w:val="00661002"/>
    <w:rsid w:val="00662D3E"/>
    <w:rsid w:val="00665C7E"/>
    <w:rsid w:val="00672DDD"/>
    <w:rsid w:val="00673C06"/>
    <w:rsid w:val="00673C42"/>
    <w:rsid w:val="006740D4"/>
    <w:rsid w:val="0067484A"/>
    <w:rsid w:val="00676C91"/>
    <w:rsid w:val="00676DAF"/>
    <w:rsid w:val="006803C0"/>
    <w:rsid w:val="006817ED"/>
    <w:rsid w:val="00690B77"/>
    <w:rsid w:val="00694D6B"/>
    <w:rsid w:val="006A21E3"/>
    <w:rsid w:val="006B0FEF"/>
    <w:rsid w:val="006B1308"/>
    <w:rsid w:val="006C0171"/>
    <w:rsid w:val="006C0CE3"/>
    <w:rsid w:val="006C4000"/>
    <w:rsid w:val="006C621F"/>
    <w:rsid w:val="006C651A"/>
    <w:rsid w:val="006C7744"/>
    <w:rsid w:val="006D1E21"/>
    <w:rsid w:val="006D32DB"/>
    <w:rsid w:val="006D5EE8"/>
    <w:rsid w:val="006D7C47"/>
    <w:rsid w:val="006E4F5D"/>
    <w:rsid w:val="006E56E8"/>
    <w:rsid w:val="006E59F5"/>
    <w:rsid w:val="006E5B01"/>
    <w:rsid w:val="006F0274"/>
    <w:rsid w:val="006F27AB"/>
    <w:rsid w:val="006F5AA4"/>
    <w:rsid w:val="0070198E"/>
    <w:rsid w:val="0070275C"/>
    <w:rsid w:val="007042B7"/>
    <w:rsid w:val="00707E58"/>
    <w:rsid w:val="007108BE"/>
    <w:rsid w:val="00711200"/>
    <w:rsid w:val="007115DC"/>
    <w:rsid w:val="00714B37"/>
    <w:rsid w:val="00722FB9"/>
    <w:rsid w:val="0072397F"/>
    <w:rsid w:val="00725209"/>
    <w:rsid w:val="00727250"/>
    <w:rsid w:val="00731922"/>
    <w:rsid w:val="00731ACB"/>
    <w:rsid w:val="007368AD"/>
    <w:rsid w:val="00740C74"/>
    <w:rsid w:val="0074133D"/>
    <w:rsid w:val="007451DC"/>
    <w:rsid w:val="00745DF6"/>
    <w:rsid w:val="0075196D"/>
    <w:rsid w:val="0075558C"/>
    <w:rsid w:val="00755F44"/>
    <w:rsid w:val="007575DD"/>
    <w:rsid w:val="00761EFA"/>
    <w:rsid w:val="00763893"/>
    <w:rsid w:val="00764873"/>
    <w:rsid w:val="00765773"/>
    <w:rsid w:val="00766622"/>
    <w:rsid w:val="007704C7"/>
    <w:rsid w:val="00774129"/>
    <w:rsid w:val="007754C0"/>
    <w:rsid w:val="00777268"/>
    <w:rsid w:val="0077776D"/>
    <w:rsid w:val="00777822"/>
    <w:rsid w:val="007778DD"/>
    <w:rsid w:val="00781055"/>
    <w:rsid w:val="00782521"/>
    <w:rsid w:val="00786A7C"/>
    <w:rsid w:val="00787617"/>
    <w:rsid w:val="00796693"/>
    <w:rsid w:val="007A0F41"/>
    <w:rsid w:val="007A3D24"/>
    <w:rsid w:val="007A4A68"/>
    <w:rsid w:val="007B17DA"/>
    <w:rsid w:val="007B1A9E"/>
    <w:rsid w:val="007B22B1"/>
    <w:rsid w:val="007B5A0E"/>
    <w:rsid w:val="007B661C"/>
    <w:rsid w:val="007B7F6D"/>
    <w:rsid w:val="007C1E2B"/>
    <w:rsid w:val="007C7591"/>
    <w:rsid w:val="007C7BE3"/>
    <w:rsid w:val="007D1C7E"/>
    <w:rsid w:val="007D39DE"/>
    <w:rsid w:val="007D5CD5"/>
    <w:rsid w:val="007F6977"/>
    <w:rsid w:val="007F6AE9"/>
    <w:rsid w:val="0081041A"/>
    <w:rsid w:val="008108A7"/>
    <w:rsid w:val="00815AA0"/>
    <w:rsid w:val="0082359B"/>
    <w:rsid w:val="00824900"/>
    <w:rsid w:val="00825933"/>
    <w:rsid w:val="00826116"/>
    <w:rsid w:val="00826C19"/>
    <w:rsid w:val="00826D54"/>
    <w:rsid w:val="00832360"/>
    <w:rsid w:val="00834CBF"/>
    <w:rsid w:val="00836F89"/>
    <w:rsid w:val="00842FD9"/>
    <w:rsid w:val="00846459"/>
    <w:rsid w:val="0085757D"/>
    <w:rsid w:val="00863435"/>
    <w:rsid w:val="00864954"/>
    <w:rsid w:val="00871BEF"/>
    <w:rsid w:val="00872827"/>
    <w:rsid w:val="0087349A"/>
    <w:rsid w:val="0087532D"/>
    <w:rsid w:val="008807A9"/>
    <w:rsid w:val="00882CCF"/>
    <w:rsid w:val="00885592"/>
    <w:rsid w:val="00886548"/>
    <w:rsid w:val="008865B6"/>
    <w:rsid w:val="00886A38"/>
    <w:rsid w:val="00886FCD"/>
    <w:rsid w:val="00894745"/>
    <w:rsid w:val="008949DA"/>
    <w:rsid w:val="008949E3"/>
    <w:rsid w:val="00895912"/>
    <w:rsid w:val="00895DF4"/>
    <w:rsid w:val="008A0E3E"/>
    <w:rsid w:val="008A109A"/>
    <w:rsid w:val="008A6662"/>
    <w:rsid w:val="008A7971"/>
    <w:rsid w:val="008B0A19"/>
    <w:rsid w:val="008B1A4D"/>
    <w:rsid w:val="008D0A54"/>
    <w:rsid w:val="008D10E5"/>
    <w:rsid w:val="008D1DE7"/>
    <w:rsid w:val="008D2C17"/>
    <w:rsid w:val="008D5613"/>
    <w:rsid w:val="008D589C"/>
    <w:rsid w:val="008E05A6"/>
    <w:rsid w:val="008E2678"/>
    <w:rsid w:val="008E2A23"/>
    <w:rsid w:val="008E5299"/>
    <w:rsid w:val="008E7085"/>
    <w:rsid w:val="008F5313"/>
    <w:rsid w:val="008F60C3"/>
    <w:rsid w:val="008F76E5"/>
    <w:rsid w:val="00900F63"/>
    <w:rsid w:val="00901019"/>
    <w:rsid w:val="00904969"/>
    <w:rsid w:val="00910764"/>
    <w:rsid w:val="00914D49"/>
    <w:rsid w:val="00915696"/>
    <w:rsid w:val="009157FF"/>
    <w:rsid w:val="00915E8A"/>
    <w:rsid w:val="00915F79"/>
    <w:rsid w:val="009254D6"/>
    <w:rsid w:val="00925610"/>
    <w:rsid w:val="0092669B"/>
    <w:rsid w:val="0093163E"/>
    <w:rsid w:val="00931C15"/>
    <w:rsid w:val="00933028"/>
    <w:rsid w:val="00936282"/>
    <w:rsid w:val="00936436"/>
    <w:rsid w:val="009402D0"/>
    <w:rsid w:val="00940CBB"/>
    <w:rsid w:val="00944330"/>
    <w:rsid w:val="00947B07"/>
    <w:rsid w:val="00954852"/>
    <w:rsid w:val="00954B91"/>
    <w:rsid w:val="00957F38"/>
    <w:rsid w:val="00966BAC"/>
    <w:rsid w:val="00967C16"/>
    <w:rsid w:val="00973C22"/>
    <w:rsid w:val="00975520"/>
    <w:rsid w:val="00975596"/>
    <w:rsid w:val="00975E37"/>
    <w:rsid w:val="00977404"/>
    <w:rsid w:val="009835B0"/>
    <w:rsid w:val="00983DD3"/>
    <w:rsid w:val="009924C4"/>
    <w:rsid w:val="00994EF7"/>
    <w:rsid w:val="00995A4A"/>
    <w:rsid w:val="00995EB7"/>
    <w:rsid w:val="009963EA"/>
    <w:rsid w:val="009A1712"/>
    <w:rsid w:val="009A296F"/>
    <w:rsid w:val="009A2ABE"/>
    <w:rsid w:val="009A34C4"/>
    <w:rsid w:val="009A5F95"/>
    <w:rsid w:val="009A6A2F"/>
    <w:rsid w:val="009B44B8"/>
    <w:rsid w:val="009C0431"/>
    <w:rsid w:val="009C2DCD"/>
    <w:rsid w:val="009C755C"/>
    <w:rsid w:val="009C780F"/>
    <w:rsid w:val="009D0999"/>
    <w:rsid w:val="009D4E91"/>
    <w:rsid w:val="009D794C"/>
    <w:rsid w:val="009E0AAF"/>
    <w:rsid w:val="009E616B"/>
    <w:rsid w:val="009F0C02"/>
    <w:rsid w:val="009F2761"/>
    <w:rsid w:val="00A00364"/>
    <w:rsid w:val="00A0250F"/>
    <w:rsid w:val="00A04CE9"/>
    <w:rsid w:val="00A22C18"/>
    <w:rsid w:val="00A25353"/>
    <w:rsid w:val="00A26202"/>
    <w:rsid w:val="00A34ACA"/>
    <w:rsid w:val="00A34F5F"/>
    <w:rsid w:val="00A46A68"/>
    <w:rsid w:val="00A50EE9"/>
    <w:rsid w:val="00A50F5A"/>
    <w:rsid w:val="00A53681"/>
    <w:rsid w:val="00A56FE9"/>
    <w:rsid w:val="00A6530E"/>
    <w:rsid w:val="00A71DB5"/>
    <w:rsid w:val="00A732B7"/>
    <w:rsid w:val="00A746DE"/>
    <w:rsid w:val="00A82DD5"/>
    <w:rsid w:val="00A847CB"/>
    <w:rsid w:val="00A855C4"/>
    <w:rsid w:val="00A86160"/>
    <w:rsid w:val="00A861A6"/>
    <w:rsid w:val="00A86F48"/>
    <w:rsid w:val="00A90FB9"/>
    <w:rsid w:val="00A91B6E"/>
    <w:rsid w:val="00A93654"/>
    <w:rsid w:val="00A961B9"/>
    <w:rsid w:val="00AA1EBF"/>
    <w:rsid w:val="00AA3E0C"/>
    <w:rsid w:val="00AA423F"/>
    <w:rsid w:val="00AB6429"/>
    <w:rsid w:val="00AC2896"/>
    <w:rsid w:val="00AC575A"/>
    <w:rsid w:val="00AC669C"/>
    <w:rsid w:val="00AD0A33"/>
    <w:rsid w:val="00AD0B35"/>
    <w:rsid w:val="00AD0F56"/>
    <w:rsid w:val="00AD31BE"/>
    <w:rsid w:val="00AD31C5"/>
    <w:rsid w:val="00AD5FC2"/>
    <w:rsid w:val="00AE0227"/>
    <w:rsid w:val="00AE05FA"/>
    <w:rsid w:val="00AE0982"/>
    <w:rsid w:val="00AE64E7"/>
    <w:rsid w:val="00AF19D4"/>
    <w:rsid w:val="00AF7D76"/>
    <w:rsid w:val="00AF7FCF"/>
    <w:rsid w:val="00B07524"/>
    <w:rsid w:val="00B113E7"/>
    <w:rsid w:val="00B122F1"/>
    <w:rsid w:val="00B227BF"/>
    <w:rsid w:val="00B243E0"/>
    <w:rsid w:val="00B24BE4"/>
    <w:rsid w:val="00B31203"/>
    <w:rsid w:val="00B34CE3"/>
    <w:rsid w:val="00B35B7C"/>
    <w:rsid w:val="00B36790"/>
    <w:rsid w:val="00B4054E"/>
    <w:rsid w:val="00B41516"/>
    <w:rsid w:val="00B457DD"/>
    <w:rsid w:val="00B461A2"/>
    <w:rsid w:val="00B4751A"/>
    <w:rsid w:val="00B512ED"/>
    <w:rsid w:val="00B51702"/>
    <w:rsid w:val="00B52E74"/>
    <w:rsid w:val="00B53C15"/>
    <w:rsid w:val="00B573A4"/>
    <w:rsid w:val="00B62A12"/>
    <w:rsid w:val="00B64EE5"/>
    <w:rsid w:val="00B65C16"/>
    <w:rsid w:val="00B67464"/>
    <w:rsid w:val="00B70948"/>
    <w:rsid w:val="00B71FE8"/>
    <w:rsid w:val="00B72141"/>
    <w:rsid w:val="00B72CBC"/>
    <w:rsid w:val="00B749CA"/>
    <w:rsid w:val="00B7746D"/>
    <w:rsid w:val="00B77B63"/>
    <w:rsid w:val="00B8008C"/>
    <w:rsid w:val="00B803B1"/>
    <w:rsid w:val="00B82B1F"/>
    <w:rsid w:val="00B85FE2"/>
    <w:rsid w:val="00B90095"/>
    <w:rsid w:val="00B90696"/>
    <w:rsid w:val="00B928C6"/>
    <w:rsid w:val="00B95028"/>
    <w:rsid w:val="00B97169"/>
    <w:rsid w:val="00B97DAC"/>
    <w:rsid w:val="00BA0EFE"/>
    <w:rsid w:val="00BA40C5"/>
    <w:rsid w:val="00BA5C7D"/>
    <w:rsid w:val="00BA7BE3"/>
    <w:rsid w:val="00BB13AB"/>
    <w:rsid w:val="00BB2843"/>
    <w:rsid w:val="00BC01D6"/>
    <w:rsid w:val="00BC478F"/>
    <w:rsid w:val="00BC5413"/>
    <w:rsid w:val="00BC79C8"/>
    <w:rsid w:val="00BD2100"/>
    <w:rsid w:val="00BD2603"/>
    <w:rsid w:val="00BD3522"/>
    <w:rsid w:val="00BD43E6"/>
    <w:rsid w:val="00BE0699"/>
    <w:rsid w:val="00BE6BDD"/>
    <w:rsid w:val="00BF0187"/>
    <w:rsid w:val="00C02BDC"/>
    <w:rsid w:val="00C06617"/>
    <w:rsid w:val="00C0799A"/>
    <w:rsid w:val="00C11D0D"/>
    <w:rsid w:val="00C13E2E"/>
    <w:rsid w:val="00C142FA"/>
    <w:rsid w:val="00C1539C"/>
    <w:rsid w:val="00C155A8"/>
    <w:rsid w:val="00C208E9"/>
    <w:rsid w:val="00C239E6"/>
    <w:rsid w:val="00C25F87"/>
    <w:rsid w:val="00C26544"/>
    <w:rsid w:val="00C275ED"/>
    <w:rsid w:val="00C30D60"/>
    <w:rsid w:val="00C3453B"/>
    <w:rsid w:val="00C34769"/>
    <w:rsid w:val="00C4247F"/>
    <w:rsid w:val="00C425A3"/>
    <w:rsid w:val="00C462FB"/>
    <w:rsid w:val="00C5064A"/>
    <w:rsid w:val="00C509C3"/>
    <w:rsid w:val="00C50A17"/>
    <w:rsid w:val="00C53D57"/>
    <w:rsid w:val="00C567E4"/>
    <w:rsid w:val="00C57BCC"/>
    <w:rsid w:val="00C64070"/>
    <w:rsid w:val="00C64218"/>
    <w:rsid w:val="00C667FE"/>
    <w:rsid w:val="00C70566"/>
    <w:rsid w:val="00C70EAE"/>
    <w:rsid w:val="00C83B65"/>
    <w:rsid w:val="00C85236"/>
    <w:rsid w:val="00C91029"/>
    <w:rsid w:val="00C928A4"/>
    <w:rsid w:val="00CA30E3"/>
    <w:rsid w:val="00CA504C"/>
    <w:rsid w:val="00CA5207"/>
    <w:rsid w:val="00CB244F"/>
    <w:rsid w:val="00CB6831"/>
    <w:rsid w:val="00CC2819"/>
    <w:rsid w:val="00CD18BC"/>
    <w:rsid w:val="00CD438B"/>
    <w:rsid w:val="00CD50B5"/>
    <w:rsid w:val="00CD5702"/>
    <w:rsid w:val="00CD73A9"/>
    <w:rsid w:val="00CE0CC9"/>
    <w:rsid w:val="00CE1AF6"/>
    <w:rsid w:val="00CE29FB"/>
    <w:rsid w:val="00CE3A3E"/>
    <w:rsid w:val="00CE4063"/>
    <w:rsid w:val="00CE4D4B"/>
    <w:rsid w:val="00CF1010"/>
    <w:rsid w:val="00CF17E1"/>
    <w:rsid w:val="00CF1A69"/>
    <w:rsid w:val="00CF2893"/>
    <w:rsid w:val="00CF7D8D"/>
    <w:rsid w:val="00D06E3A"/>
    <w:rsid w:val="00D06F12"/>
    <w:rsid w:val="00D110AF"/>
    <w:rsid w:val="00D13B4C"/>
    <w:rsid w:val="00D21EF3"/>
    <w:rsid w:val="00D2262B"/>
    <w:rsid w:val="00D23468"/>
    <w:rsid w:val="00D24CDA"/>
    <w:rsid w:val="00D250B1"/>
    <w:rsid w:val="00D2658F"/>
    <w:rsid w:val="00D339EF"/>
    <w:rsid w:val="00D41205"/>
    <w:rsid w:val="00D46790"/>
    <w:rsid w:val="00D52691"/>
    <w:rsid w:val="00D527E5"/>
    <w:rsid w:val="00D52D54"/>
    <w:rsid w:val="00D5325A"/>
    <w:rsid w:val="00D53BC3"/>
    <w:rsid w:val="00D53BF9"/>
    <w:rsid w:val="00D57241"/>
    <w:rsid w:val="00D5795A"/>
    <w:rsid w:val="00D64F5B"/>
    <w:rsid w:val="00D6504C"/>
    <w:rsid w:val="00D6686B"/>
    <w:rsid w:val="00D677AA"/>
    <w:rsid w:val="00D67BE1"/>
    <w:rsid w:val="00D71824"/>
    <w:rsid w:val="00D737BC"/>
    <w:rsid w:val="00D73F4D"/>
    <w:rsid w:val="00D7488C"/>
    <w:rsid w:val="00D74B42"/>
    <w:rsid w:val="00D75A98"/>
    <w:rsid w:val="00D77B0C"/>
    <w:rsid w:val="00D82873"/>
    <w:rsid w:val="00D82E57"/>
    <w:rsid w:val="00D853EB"/>
    <w:rsid w:val="00D91C27"/>
    <w:rsid w:val="00DA0249"/>
    <w:rsid w:val="00DA4143"/>
    <w:rsid w:val="00DB13C8"/>
    <w:rsid w:val="00DB6098"/>
    <w:rsid w:val="00DB79B3"/>
    <w:rsid w:val="00DC104A"/>
    <w:rsid w:val="00DC50EC"/>
    <w:rsid w:val="00DC54D1"/>
    <w:rsid w:val="00DC5925"/>
    <w:rsid w:val="00DC60FA"/>
    <w:rsid w:val="00DD00DE"/>
    <w:rsid w:val="00DD5674"/>
    <w:rsid w:val="00DE17C2"/>
    <w:rsid w:val="00DE1EFE"/>
    <w:rsid w:val="00DE23AF"/>
    <w:rsid w:val="00DF00C6"/>
    <w:rsid w:val="00DF1D15"/>
    <w:rsid w:val="00DF3B9A"/>
    <w:rsid w:val="00DF7C87"/>
    <w:rsid w:val="00E00B94"/>
    <w:rsid w:val="00E0118B"/>
    <w:rsid w:val="00E05702"/>
    <w:rsid w:val="00E05742"/>
    <w:rsid w:val="00E07CC9"/>
    <w:rsid w:val="00E1152E"/>
    <w:rsid w:val="00E17598"/>
    <w:rsid w:val="00E21F42"/>
    <w:rsid w:val="00E3015B"/>
    <w:rsid w:val="00E31D68"/>
    <w:rsid w:val="00E34E33"/>
    <w:rsid w:val="00E402D1"/>
    <w:rsid w:val="00E41BDE"/>
    <w:rsid w:val="00E459DC"/>
    <w:rsid w:val="00E50C1C"/>
    <w:rsid w:val="00E51477"/>
    <w:rsid w:val="00E537C8"/>
    <w:rsid w:val="00E547A1"/>
    <w:rsid w:val="00E569DA"/>
    <w:rsid w:val="00E56D35"/>
    <w:rsid w:val="00E579B9"/>
    <w:rsid w:val="00E57B67"/>
    <w:rsid w:val="00E633BE"/>
    <w:rsid w:val="00E6371D"/>
    <w:rsid w:val="00E7086D"/>
    <w:rsid w:val="00E7096E"/>
    <w:rsid w:val="00E81067"/>
    <w:rsid w:val="00E816ED"/>
    <w:rsid w:val="00E8292D"/>
    <w:rsid w:val="00E850A1"/>
    <w:rsid w:val="00EA464C"/>
    <w:rsid w:val="00EA5111"/>
    <w:rsid w:val="00EA5199"/>
    <w:rsid w:val="00EB4FBE"/>
    <w:rsid w:val="00EB5909"/>
    <w:rsid w:val="00EC3B45"/>
    <w:rsid w:val="00ED1D10"/>
    <w:rsid w:val="00ED599C"/>
    <w:rsid w:val="00ED6D62"/>
    <w:rsid w:val="00ED75ED"/>
    <w:rsid w:val="00ED7A05"/>
    <w:rsid w:val="00EE1908"/>
    <w:rsid w:val="00EE334C"/>
    <w:rsid w:val="00EE4441"/>
    <w:rsid w:val="00EE4B4B"/>
    <w:rsid w:val="00EE56EC"/>
    <w:rsid w:val="00EE7DAC"/>
    <w:rsid w:val="00EF534C"/>
    <w:rsid w:val="00F00FA2"/>
    <w:rsid w:val="00F01FDE"/>
    <w:rsid w:val="00F02153"/>
    <w:rsid w:val="00F058DF"/>
    <w:rsid w:val="00F063AE"/>
    <w:rsid w:val="00F15675"/>
    <w:rsid w:val="00F159E8"/>
    <w:rsid w:val="00F21250"/>
    <w:rsid w:val="00F22A04"/>
    <w:rsid w:val="00F2398D"/>
    <w:rsid w:val="00F24AAD"/>
    <w:rsid w:val="00F25292"/>
    <w:rsid w:val="00F26C23"/>
    <w:rsid w:val="00F30A8C"/>
    <w:rsid w:val="00F3793E"/>
    <w:rsid w:val="00F4369A"/>
    <w:rsid w:val="00F45441"/>
    <w:rsid w:val="00F45682"/>
    <w:rsid w:val="00F50AB6"/>
    <w:rsid w:val="00F5435A"/>
    <w:rsid w:val="00F54F67"/>
    <w:rsid w:val="00F607C1"/>
    <w:rsid w:val="00F634A3"/>
    <w:rsid w:val="00F63BD3"/>
    <w:rsid w:val="00F64394"/>
    <w:rsid w:val="00F70716"/>
    <w:rsid w:val="00F710F9"/>
    <w:rsid w:val="00F71ADC"/>
    <w:rsid w:val="00F72A0B"/>
    <w:rsid w:val="00F7527E"/>
    <w:rsid w:val="00F7620F"/>
    <w:rsid w:val="00F87F40"/>
    <w:rsid w:val="00F9793E"/>
    <w:rsid w:val="00FA0920"/>
    <w:rsid w:val="00FA0AE4"/>
    <w:rsid w:val="00FA3521"/>
    <w:rsid w:val="00FA442E"/>
    <w:rsid w:val="00FA4547"/>
    <w:rsid w:val="00FA586E"/>
    <w:rsid w:val="00FA75A5"/>
    <w:rsid w:val="00FB3A19"/>
    <w:rsid w:val="00FB4DBA"/>
    <w:rsid w:val="00FB667E"/>
    <w:rsid w:val="00FC04A5"/>
    <w:rsid w:val="00FC09EC"/>
    <w:rsid w:val="00FC0AF7"/>
    <w:rsid w:val="00FC4AD2"/>
    <w:rsid w:val="00FC5A1B"/>
    <w:rsid w:val="00FD1697"/>
    <w:rsid w:val="00FD1F1C"/>
    <w:rsid w:val="00FD633D"/>
    <w:rsid w:val="00FD69E9"/>
    <w:rsid w:val="00FE294E"/>
    <w:rsid w:val="00FE3DF9"/>
    <w:rsid w:val="00FE552D"/>
    <w:rsid w:val="00FF045E"/>
    <w:rsid w:val="00FF1665"/>
    <w:rsid w:val="00FF195C"/>
    <w:rsid w:val="00FF641D"/>
    <w:rsid w:val="00FF7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7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semiHidden/>
    <w:unhideWhenUsed/>
    <w:qFormat/>
    <w:rsid w:val="0022095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491D83"/>
    <w:pPr>
      <w:ind w:left="480" w:hanging="480"/>
    </w:pPr>
    <w:rPr>
      <w:rFonts w:ascii="Times New Roman" w:hAnsi="Times New Roman" w:cs="Calibri (Body)"/>
      <w:szCs w:val="20"/>
    </w:r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722FB9"/>
    <w:pPr>
      <w:spacing w:before="120" w:after="120" w:line="360" w:lineRule="auto"/>
    </w:pPr>
    <w:rPr>
      <w:rFonts w:ascii="Times New Roman" w:hAnsi="Times New Roman" w:cstheme="minorHAnsi"/>
      <w:b/>
      <w:bCs/>
      <w:caps/>
      <w:szCs w:val="20"/>
    </w:rPr>
  </w:style>
  <w:style w:type="paragraph" w:styleId="TOC2">
    <w:name w:val="toc 2"/>
    <w:basedOn w:val="Normal"/>
    <w:next w:val="Normal"/>
    <w:autoRedefine/>
    <w:uiPriority w:val="39"/>
    <w:rsid w:val="00FF7E60"/>
    <w:pPr>
      <w:spacing w:line="360" w:lineRule="auto"/>
      <w:ind w:left="245"/>
    </w:pPr>
    <w:rPr>
      <w:rFonts w:ascii="Times New Roman" w:hAnsi="Times New Roman" w:cs="Calibri (Body)"/>
      <w:b/>
      <w:szCs w:val="20"/>
    </w:rPr>
  </w:style>
  <w:style w:type="paragraph" w:styleId="TOC3">
    <w:name w:val="toc 3"/>
    <w:basedOn w:val="Normal"/>
    <w:next w:val="Normal"/>
    <w:autoRedefine/>
    <w:uiPriority w:val="39"/>
    <w:rsid w:val="00FF7E60"/>
    <w:pPr>
      <w:spacing w:line="360" w:lineRule="auto"/>
      <w:ind w:left="475"/>
    </w:pPr>
    <w:rPr>
      <w:rFonts w:ascii="Times New Roman" w:hAnsi="Times New Roman" w:cstheme="minorHAnsi"/>
      <w:i/>
      <w:iCs/>
      <w:szCs w:val="20"/>
    </w:rPr>
  </w:style>
  <w:style w:type="paragraph" w:styleId="TOC4">
    <w:name w:val="toc 4"/>
    <w:basedOn w:val="Normal"/>
    <w:next w:val="Normal"/>
    <w:autoRedefine/>
    <w:semiHidden/>
    <w:rsid w:val="00722FB9"/>
    <w:pPr>
      <w:spacing w:line="360" w:lineRule="auto"/>
      <w:ind w:left="720"/>
    </w:pPr>
    <w:rPr>
      <w:rFonts w:ascii="Times New Roman" w:hAnsi="Times New Roman" w:cstheme="minorHAnsi"/>
      <w:szCs w:val="18"/>
    </w:rPr>
  </w:style>
  <w:style w:type="paragraph" w:styleId="TOC5">
    <w:name w:val="toc 5"/>
    <w:basedOn w:val="Normal"/>
    <w:next w:val="Normal"/>
    <w:autoRedefine/>
    <w:semiHidden/>
    <w:rsid w:val="00665C7E"/>
    <w:pPr>
      <w:ind w:left="960"/>
    </w:pPr>
    <w:rPr>
      <w:rFonts w:asciiTheme="minorHAnsi" w:hAnsiTheme="minorHAnsi" w:cstheme="minorHAnsi"/>
      <w:sz w:val="18"/>
      <w:szCs w:val="18"/>
    </w:rPr>
  </w:style>
  <w:style w:type="paragraph" w:styleId="TOC6">
    <w:name w:val="toc 6"/>
    <w:basedOn w:val="Normal"/>
    <w:next w:val="Normal"/>
    <w:autoRedefine/>
    <w:semiHidden/>
    <w:rsid w:val="00665C7E"/>
    <w:pPr>
      <w:ind w:left="1200"/>
    </w:pPr>
    <w:rPr>
      <w:rFonts w:asciiTheme="minorHAnsi" w:hAnsiTheme="minorHAnsi" w:cstheme="minorHAnsi"/>
      <w:sz w:val="18"/>
      <w:szCs w:val="18"/>
    </w:rPr>
  </w:style>
  <w:style w:type="paragraph" w:styleId="TOC7">
    <w:name w:val="toc 7"/>
    <w:basedOn w:val="Normal"/>
    <w:next w:val="Normal"/>
    <w:autoRedefine/>
    <w:semiHidden/>
    <w:rsid w:val="00665C7E"/>
    <w:pPr>
      <w:ind w:left="1440"/>
    </w:pPr>
    <w:rPr>
      <w:rFonts w:asciiTheme="minorHAnsi" w:hAnsiTheme="minorHAnsi" w:cstheme="minorHAnsi"/>
      <w:sz w:val="18"/>
      <w:szCs w:val="18"/>
    </w:rPr>
  </w:style>
  <w:style w:type="paragraph" w:styleId="TOC8">
    <w:name w:val="toc 8"/>
    <w:basedOn w:val="Normal"/>
    <w:next w:val="Normal"/>
    <w:autoRedefine/>
    <w:semiHidden/>
    <w:rsid w:val="00665C7E"/>
    <w:pPr>
      <w:ind w:left="1680"/>
    </w:pPr>
    <w:rPr>
      <w:rFonts w:asciiTheme="minorHAnsi" w:hAnsiTheme="minorHAnsi" w:cstheme="minorHAnsi"/>
      <w:sz w:val="18"/>
      <w:szCs w:val="18"/>
    </w:rPr>
  </w:style>
  <w:style w:type="paragraph" w:styleId="TOC9">
    <w:name w:val="toc 9"/>
    <w:basedOn w:val="Normal"/>
    <w:next w:val="Normal"/>
    <w:autoRedefine/>
    <w:semiHidden/>
    <w:rsid w:val="00665C7E"/>
    <w:pPr>
      <w:ind w:left="1920"/>
    </w:pPr>
    <w:rPr>
      <w:rFonts w:asciiTheme="minorHAnsi" w:hAnsiTheme="minorHAnsi" w:cstheme="minorHAnsi"/>
      <w:sz w:val="18"/>
      <w:szCs w:val="18"/>
    </w:r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F0C02"/>
    <w:pPr>
      <w:tabs>
        <w:tab w:val="left" w:pos="500"/>
      </w:tabs>
      <w:spacing w:line="480" w:lineRule="auto"/>
      <w:ind w:left="720" w:hanging="720"/>
    </w:pPr>
  </w:style>
  <w:style w:type="character" w:styleId="UnresolvedMention">
    <w:name w:val="Unresolved Mention"/>
    <w:basedOn w:val="DefaultParagraphFont"/>
    <w:uiPriority w:val="99"/>
    <w:semiHidden/>
    <w:unhideWhenUsed/>
    <w:rsid w:val="009F0C02"/>
    <w:rPr>
      <w:color w:val="605E5C"/>
      <w:shd w:val="clear" w:color="auto" w:fill="E1DFDD"/>
    </w:rPr>
  </w:style>
  <w:style w:type="character" w:styleId="CommentReference">
    <w:name w:val="annotation reference"/>
    <w:basedOn w:val="DefaultParagraphFont"/>
    <w:uiPriority w:val="99"/>
    <w:semiHidden/>
    <w:unhideWhenUsed/>
    <w:rsid w:val="00F64394"/>
    <w:rPr>
      <w:sz w:val="16"/>
      <w:szCs w:val="16"/>
    </w:rPr>
  </w:style>
  <w:style w:type="paragraph" w:styleId="CommentText">
    <w:name w:val="annotation text"/>
    <w:basedOn w:val="Normal"/>
    <w:link w:val="CommentTextChar"/>
    <w:uiPriority w:val="99"/>
    <w:unhideWhenUsed/>
    <w:rsid w:val="00F64394"/>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64394"/>
    <w:rPr>
      <w:rFonts w:asciiTheme="minorHAnsi" w:eastAsiaTheme="minorHAnsi" w:hAnsiTheme="minorHAnsi" w:cstheme="minorBidi"/>
    </w:rPr>
  </w:style>
  <w:style w:type="table" w:styleId="PlainTable1">
    <w:name w:val="Plain Table 1"/>
    <w:basedOn w:val="TableNormal"/>
    <w:uiPriority w:val="41"/>
    <w:rsid w:val="009E616B"/>
    <w:rPr>
      <w:rFonts w:asciiTheme="minorHAnsi" w:eastAsiaTheme="minorHAnsi" w:hAnsiTheme="minorHAnsi" w:cstheme="minorBid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546D56"/>
    <w:rPr>
      <w:rFonts w:ascii="Arial" w:eastAsia="Times New Roman" w:hAnsi="Arial" w:cs="Arial"/>
      <w:b/>
      <w:bCs/>
    </w:rPr>
  </w:style>
  <w:style w:type="character" w:customStyle="1" w:styleId="CommentSubjectChar">
    <w:name w:val="Comment Subject Char"/>
    <w:basedOn w:val="CommentTextChar"/>
    <w:link w:val="CommentSubject"/>
    <w:uiPriority w:val="99"/>
    <w:semiHidden/>
    <w:rsid w:val="00546D56"/>
    <w:rPr>
      <w:rFonts w:ascii="Arial" w:eastAsiaTheme="minorHAnsi" w:hAnsi="Arial" w:cs="Arial"/>
      <w:b/>
      <w:bCs/>
    </w:rPr>
  </w:style>
  <w:style w:type="character" w:styleId="PageNumber">
    <w:name w:val="page number"/>
    <w:basedOn w:val="DefaultParagraphFont"/>
    <w:uiPriority w:val="99"/>
    <w:semiHidden/>
    <w:unhideWhenUsed/>
    <w:rsid w:val="00546D56"/>
  </w:style>
  <w:style w:type="paragraph" w:styleId="ListParagraph">
    <w:name w:val="List Paragraph"/>
    <w:basedOn w:val="Normal"/>
    <w:uiPriority w:val="34"/>
    <w:qFormat/>
    <w:rsid w:val="007C7BE3"/>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7C7BE3"/>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semiHidden/>
    <w:unhideWhenUsed/>
    <w:rsid w:val="007C7BE3"/>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C7BE3"/>
    <w:rPr>
      <w:rFonts w:ascii="Segoe UI" w:eastAsiaTheme="minorHAnsi" w:hAnsi="Segoe UI" w:cs="Segoe UI"/>
      <w:sz w:val="18"/>
      <w:szCs w:val="18"/>
    </w:rPr>
  </w:style>
  <w:style w:type="paragraph" w:styleId="Revision">
    <w:name w:val="Revision"/>
    <w:hidden/>
    <w:uiPriority w:val="99"/>
    <w:semiHidden/>
    <w:rsid w:val="007C7BE3"/>
    <w:rPr>
      <w:rFonts w:asciiTheme="minorHAnsi" w:eastAsiaTheme="minorHAnsi" w:hAnsiTheme="minorHAnsi" w:cstheme="minorBidi"/>
      <w:sz w:val="24"/>
      <w:szCs w:val="24"/>
    </w:rPr>
  </w:style>
  <w:style w:type="character" w:styleId="FollowedHyperlink">
    <w:name w:val="FollowedHyperlink"/>
    <w:basedOn w:val="DefaultParagraphFont"/>
    <w:uiPriority w:val="99"/>
    <w:semiHidden/>
    <w:unhideWhenUsed/>
    <w:rsid w:val="008E2A23"/>
    <w:rPr>
      <w:color w:val="954F72"/>
      <w:u w:val="single"/>
    </w:rPr>
  </w:style>
  <w:style w:type="paragraph" w:customStyle="1" w:styleId="msonormal0">
    <w:name w:val="msonormal"/>
    <w:basedOn w:val="Normal"/>
    <w:rsid w:val="008E2A23"/>
    <w:pPr>
      <w:spacing w:before="100" w:beforeAutospacing="1" w:after="100" w:afterAutospacing="1"/>
    </w:pPr>
    <w:rPr>
      <w:rFonts w:ascii="Times New Roman" w:hAnsi="Times New Roman" w:cs="Times New Roman"/>
    </w:rPr>
  </w:style>
  <w:style w:type="paragraph" w:customStyle="1" w:styleId="xl63">
    <w:name w:val="xl63"/>
    <w:basedOn w:val="Normal"/>
    <w:rsid w:val="008E2A23"/>
    <w:pPr>
      <w:shd w:val="clear" w:color="000000" w:fill="A6A6A6"/>
      <w:spacing w:before="100" w:beforeAutospacing="1" w:after="100" w:afterAutospacing="1"/>
      <w:jc w:val="center"/>
    </w:pPr>
    <w:rPr>
      <w:rFonts w:ascii="Times New Roman" w:hAnsi="Times New Roman" w:cs="Times New Roman"/>
      <w:b/>
      <w:bCs/>
    </w:rPr>
  </w:style>
  <w:style w:type="paragraph" w:customStyle="1" w:styleId="xl64">
    <w:name w:val="xl64"/>
    <w:basedOn w:val="Normal"/>
    <w:rsid w:val="008E2A23"/>
    <w:pPr>
      <w:spacing w:before="100" w:beforeAutospacing="1" w:after="100" w:afterAutospacing="1"/>
      <w:jc w:val="center"/>
    </w:pPr>
    <w:rPr>
      <w:rFonts w:ascii="Times New Roman" w:hAnsi="Times New Roman" w:cs="Times New Roman"/>
    </w:rPr>
  </w:style>
  <w:style w:type="paragraph" w:customStyle="1" w:styleId="xl65">
    <w:name w:val="xl65"/>
    <w:basedOn w:val="Normal"/>
    <w:rsid w:val="008E2A23"/>
    <w:pPr>
      <w:spacing w:before="100" w:beforeAutospacing="1" w:after="100" w:afterAutospacing="1"/>
      <w:jc w:val="center"/>
    </w:pPr>
    <w:rPr>
      <w:rFonts w:ascii="Times New Roman" w:hAnsi="Times New Roman" w:cs="Times New Roman"/>
    </w:rPr>
  </w:style>
  <w:style w:type="paragraph" w:customStyle="1" w:styleId="xl66">
    <w:name w:val="xl66"/>
    <w:basedOn w:val="Normal"/>
    <w:rsid w:val="008E2A23"/>
    <w:pPr>
      <w:shd w:val="clear" w:color="000000" w:fill="D9D9D9"/>
      <w:spacing w:before="100" w:beforeAutospacing="1" w:after="100" w:afterAutospacing="1"/>
      <w:jc w:val="center"/>
    </w:pPr>
    <w:rPr>
      <w:rFonts w:ascii="Times New Roman" w:hAnsi="Times New Roman" w:cs="Times New Roman"/>
    </w:rPr>
  </w:style>
  <w:style w:type="paragraph" w:customStyle="1" w:styleId="xl67">
    <w:name w:val="xl67"/>
    <w:basedOn w:val="Normal"/>
    <w:rsid w:val="008E2A23"/>
    <w:pPr>
      <w:shd w:val="clear" w:color="000000" w:fill="D9D9D9"/>
      <w:spacing w:before="100" w:beforeAutospacing="1" w:after="100" w:afterAutospacing="1"/>
      <w:jc w:val="center"/>
    </w:pPr>
    <w:rPr>
      <w:rFonts w:ascii="Times New Roman" w:hAnsi="Times New Roman" w:cs="Times New Roman"/>
      <w:b/>
      <w:bCs/>
    </w:rPr>
  </w:style>
  <w:style w:type="paragraph" w:customStyle="1" w:styleId="xl68">
    <w:name w:val="xl68"/>
    <w:basedOn w:val="Normal"/>
    <w:rsid w:val="008E2A23"/>
    <w:pPr>
      <w:shd w:val="clear" w:color="000000" w:fill="FFFFFF"/>
      <w:spacing w:before="100" w:beforeAutospacing="1" w:after="100" w:afterAutospacing="1"/>
      <w:jc w:val="center"/>
    </w:pPr>
    <w:rPr>
      <w:rFonts w:ascii="Times New Roman" w:hAnsi="Times New Roman" w:cs="Times New Roman"/>
    </w:rPr>
  </w:style>
  <w:style w:type="paragraph" w:customStyle="1" w:styleId="xl69">
    <w:name w:val="xl69"/>
    <w:basedOn w:val="Normal"/>
    <w:rsid w:val="008E2A23"/>
    <w:pPr>
      <w:shd w:val="clear" w:color="000000" w:fill="FFFFFF"/>
      <w:spacing w:before="100" w:beforeAutospacing="1" w:after="100" w:afterAutospacing="1"/>
      <w:jc w:val="center"/>
    </w:pPr>
    <w:rPr>
      <w:rFonts w:ascii="Times New Roman" w:hAnsi="Times New Roman" w:cs="Times New Roman"/>
      <w:b/>
      <w:bCs/>
    </w:rPr>
  </w:style>
  <w:style w:type="paragraph" w:customStyle="1" w:styleId="xl70">
    <w:name w:val="xl70"/>
    <w:basedOn w:val="Normal"/>
    <w:rsid w:val="008E2A2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Times New Roman" w:hAnsi="Times New Roman" w:cs="Times New Roman"/>
      <w:b/>
      <w:bCs/>
    </w:rPr>
  </w:style>
  <w:style w:type="paragraph" w:customStyle="1" w:styleId="xl71">
    <w:name w:val="xl71"/>
    <w:basedOn w:val="Normal"/>
    <w:rsid w:val="008E2A2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Times New Roman" w:hAnsi="Times New Roman" w:cs="Times New Roman"/>
      <w:b/>
      <w:bCs/>
    </w:rPr>
  </w:style>
  <w:style w:type="paragraph" w:customStyle="1" w:styleId="xl72">
    <w:name w:val="xl72"/>
    <w:basedOn w:val="Normal"/>
    <w:rsid w:val="008E2A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73">
    <w:name w:val="xl73"/>
    <w:basedOn w:val="Normal"/>
    <w:rsid w:val="008E2A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i/>
      <w:iCs/>
    </w:rPr>
  </w:style>
  <w:style w:type="paragraph" w:customStyle="1" w:styleId="xl74">
    <w:name w:val="xl74"/>
    <w:basedOn w:val="Normal"/>
    <w:rsid w:val="008E2A2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75">
    <w:name w:val="xl75"/>
    <w:basedOn w:val="Normal"/>
    <w:rsid w:val="008E2A2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cs="Times New Roman"/>
    </w:rPr>
  </w:style>
  <w:style w:type="paragraph" w:customStyle="1" w:styleId="xl76">
    <w:name w:val="xl76"/>
    <w:basedOn w:val="Normal"/>
    <w:rsid w:val="008E2A2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cs="Times New Roman"/>
      <w:i/>
      <w:iCs/>
    </w:rPr>
  </w:style>
  <w:style w:type="paragraph" w:customStyle="1" w:styleId="xl77">
    <w:name w:val="xl77"/>
    <w:basedOn w:val="Normal"/>
    <w:rsid w:val="008E2A2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cs="Times New Roman"/>
    </w:rPr>
  </w:style>
  <w:style w:type="character" w:styleId="PlaceholderText">
    <w:name w:val="Placeholder Text"/>
    <w:basedOn w:val="DefaultParagraphFont"/>
    <w:uiPriority w:val="99"/>
    <w:semiHidden/>
    <w:rsid w:val="002F0DCF"/>
    <w:rPr>
      <w:color w:val="808080"/>
    </w:rPr>
  </w:style>
  <w:style w:type="character" w:styleId="LineNumber">
    <w:name w:val="line number"/>
    <w:basedOn w:val="DefaultParagraphFont"/>
    <w:uiPriority w:val="99"/>
    <w:semiHidden/>
    <w:unhideWhenUsed/>
    <w:rsid w:val="002F0DCF"/>
  </w:style>
  <w:style w:type="character" w:customStyle="1" w:styleId="HeaderChar">
    <w:name w:val="Header Char"/>
    <w:basedOn w:val="DefaultParagraphFont"/>
    <w:link w:val="Header"/>
    <w:uiPriority w:val="99"/>
    <w:rsid w:val="002F0DCF"/>
    <w:rPr>
      <w:rFonts w:ascii="Arial" w:hAnsi="Arial" w:cs="Arial"/>
      <w:sz w:val="24"/>
      <w:szCs w:val="24"/>
    </w:rPr>
  </w:style>
  <w:style w:type="paragraph" w:styleId="FootnoteText">
    <w:name w:val="footnote text"/>
    <w:basedOn w:val="Normal"/>
    <w:link w:val="FootnoteTextChar"/>
    <w:semiHidden/>
    <w:unhideWhenUsed/>
    <w:rsid w:val="004E6291"/>
    <w:rPr>
      <w:sz w:val="20"/>
      <w:szCs w:val="20"/>
    </w:rPr>
  </w:style>
  <w:style w:type="character" w:customStyle="1" w:styleId="FootnoteTextChar">
    <w:name w:val="Footnote Text Char"/>
    <w:basedOn w:val="DefaultParagraphFont"/>
    <w:link w:val="FootnoteText"/>
    <w:semiHidden/>
    <w:rsid w:val="004E6291"/>
    <w:rPr>
      <w:rFonts w:ascii="Arial" w:hAnsi="Arial" w:cs="Arial"/>
    </w:rPr>
  </w:style>
  <w:style w:type="character" w:styleId="FootnoteReference">
    <w:name w:val="footnote reference"/>
    <w:basedOn w:val="DefaultParagraphFont"/>
    <w:semiHidden/>
    <w:unhideWhenUsed/>
    <w:rsid w:val="004E6291"/>
    <w:rPr>
      <w:vertAlign w:val="superscript"/>
    </w:rPr>
  </w:style>
  <w:style w:type="paragraph" w:styleId="EndnoteText">
    <w:name w:val="endnote text"/>
    <w:basedOn w:val="Normal"/>
    <w:link w:val="EndnoteTextChar"/>
    <w:semiHidden/>
    <w:unhideWhenUsed/>
    <w:rsid w:val="004E6291"/>
    <w:rPr>
      <w:sz w:val="20"/>
      <w:szCs w:val="20"/>
    </w:rPr>
  </w:style>
  <w:style w:type="character" w:customStyle="1" w:styleId="EndnoteTextChar">
    <w:name w:val="Endnote Text Char"/>
    <w:basedOn w:val="DefaultParagraphFont"/>
    <w:link w:val="EndnoteText"/>
    <w:semiHidden/>
    <w:rsid w:val="004E6291"/>
    <w:rPr>
      <w:rFonts w:ascii="Arial" w:hAnsi="Arial" w:cs="Arial"/>
    </w:rPr>
  </w:style>
  <w:style w:type="character" w:styleId="EndnoteReference">
    <w:name w:val="endnote reference"/>
    <w:basedOn w:val="DefaultParagraphFont"/>
    <w:semiHidden/>
    <w:unhideWhenUsed/>
    <w:rsid w:val="004E6291"/>
    <w:rPr>
      <w:vertAlign w:val="superscript"/>
    </w:rPr>
  </w:style>
  <w:style w:type="character" w:customStyle="1" w:styleId="Heading4Char">
    <w:name w:val="Heading 4 Char"/>
    <w:basedOn w:val="DefaultParagraphFont"/>
    <w:link w:val="Heading4"/>
    <w:semiHidden/>
    <w:rsid w:val="0022095B"/>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73579">
      <w:bodyDiv w:val="1"/>
      <w:marLeft w:val="0"/>
      <w:marRight w:val="0"/>
      <w:marTop w:val="0"/>
      <w:marBottom w:val="0"/>
      <w:divBdr>
        <w:top w:val="none" w:sz="0" w:space="0" w:color="auto"/>
        <w:left w:val="none" w:sz="0" w:space="0" w:color="auto"/>
        <w:bottom w:val="none" w:sz="0" w:space="0" w:color="auto"/>
        <w:right w:val="none" w:sz="0" w:space="0" w:color="auto"/>
      </w:divBdr>
    </w:div>
    <w:div w:id="381442260">
      <w:bodyDiv w:val="1"/>
      <w:marLeft w:val="0"/>
      <w:marRight w:val="0"/>
      <w:marTop w:val="0"/>
      <w:marBottom w:val="0"/>
      <w:divBdr>
        <w:top w:val="none" w:sz="0" w:space="0" w:color="auto"/>
        <w:left w:val="none" w:sz="0" w:space="0" w:color="auto"/>
        <w:bottom w:val="none" w:sz="0" w:space="0" w:color="auto"/>
        <w:right w:val="none" w:sz="0" w:space="0" w:color="auto"/>
      </w:divBdr>
    </w:div>
    <w:div w:id="394166254">
      <w:bodyDiv w:val="1"/>
      <w:marLeft w:val="0"/>
      <w:marRight w:val="0"/>
      <w:marTop w:val="0"/>
      <w:marBottom w:val="0"/>
      <w:divBdr>
        <w:top w:val="none" w:sz="0" w:space="0" w:color="auto"/>
        <w:left w:val="none" w:sz="0" w:space="0" w:color="auto"/>
        <w:bottom w:val="none" w:sz="0" w:space="0" w:color="auto"/>
        <w:right w:val="none" w:sz="0" w:space="0" w:color="auto"/>
      </w:divBdr>
    </w:div>
    <w:div w:id="429858226">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9138544">
      <w:bodyDiv w:val="1"/>
      <w:marLeft w:val="0"/>
      <w:marRight w:val="0"/>
      <w:marTop w:val="0"/>
      <w:marBottom w:val="0"/>
      <w:divBdr>
        <w:top w:val="none" w:sz="0" w:space="0" w:color="auto"/>
        <w:left w:val="none" w:sz="0" w:space="0" w:color="auto"/>
        <w:bottom w:val="none" w:sz="0" w:space="0" w:color="auto"/>
        <w:right w:val="none" w:sz="0" w:space="0" w:color="auto"/>
      </w:divBdr>
    </w:div>
    <w:div w:id="960846769">
      <w:bodyDiv w:val="1"/>
      <w:marLeft w:val="0"/>
      <w:marRight w:val="0"/>
      <w:marTop w:val="0"/>
      <w:marBottom w:val="0"/>
      <w:divBdr>
        <w:top w:val="none" w:sz="0" w:space="0" w:color="auto"/>
        <w:left w:val="none" w:sz="0" w:space="0" w:color="auto"/>
        <w:bottom w:val="none" w:sz="0" w:space="0" w:color="auto"/>
        <w:right w:val="none" w:sz="0" w:space="0" w:color="auto"/>
      </w:divBdr>
    </w:div>
    <w:div w:id="1027364843">
      <w:bodyDiv w:val="1"/>
      <w:marLeft w:val="0"/>
      <w:marRight w:val="0"/>
      <w:marTop w:val="0"/>
      <w:marBottom w:val="0"/>
      <w:divBdr>
        <w:top w:val="none" w:sz="0" w:space="0" w:color="auto"/>
        <w:left w:val="none" w:sz="0" w:space="0" w:color="auto"/>
        <w:bottom w:val="none" w:sz="0" w:space="0" w:color="auto"/>
        <w:right w:val="none" w:sz="0" w:space="0" w:color="auto"/>
      </w:divBdr>
    </w:div>
    <w:div w:id="1215656999">
      <w:bodyDiv w:val="1"/>
      <w:marLeft w:val="0"/>
      <w:marRight w:val="0"/>
      <w:marTop w:val="0"/>
      <w:marBottom w:val="0"/>
      <w:divBdr>
        <w:top w:val="none" w:sz="0" w:space="0" w:color="auto"/>
        <w:left w:val="none" w:sz="0" w:space="0" w:color="auto"/>
        <w:bottom w:val="none" w:sz="0" w:space="0" w:color="auto"/>
        <w:right w:val="none" w:sz="0" w:space="0" w:color="auto"/>
      </w:divBdr>
    </w:div>
    <w:div w:id="1500344882">
      <w:bodyDiv w:val="1"/>
      <w:marLeft w:val="0"/>
      <w:marRight w:val="0"/>
      <w:marTop w:val="0"/>
      <w:marBottom w:val="0"/>
      <w:divBdr>
        <w:top w:val="none" w:sz="0" w:space="0" w:color="auto"/>
        <w:left w:val="none" w:sz="0" w:space="0" w:color="auto"/>
        <w:bottom w:val="none" w:sz="0" w:space="0" w:color="auto"/>
        <w:right w:val="none" w:sz="0" w:space="0" w:color="auto"/>
      </w:divBdr>
    </w:div>
    <w:div w:id="1775978120">
      <w:bodyDiv w:val="1"/>
      <w:marLeft w:val="0"/>
      <w:marRight w:val="0"/>
      <w:marTop w:val="0"/>
      <w:marBottom w:val="0"/>
      <w:divBdr>
        <w:top w:val="none" w:sz="0" w:space="0" w:color="auto"/>
        <w:left w:val="none" w:sz="0" w:space="0" w:color="auto"/>
        <w:bottom w:val="none" w:sz="0" w:space="0" w:color="auto"/>
        <w:right w:val="none" w:sz="0" w:space="0" w:color="auto"/>
      </w:divBdr>
    </w:div>
    <w:div w:id="1920169584">
      <w:bodyDiv w:val="1"/>
      <w:marLeft w:val="0"/>
      <w:marRight w:val="0"/>
      <w:marTop w:val="0"/>
      <w:marBottom w:val="0"/>
      <w:divBdr>
        <w:top w:val="none" w:sz="0" w:space="0" w:color="auto"/>
        <w:left w:val="none" w:sz="0" w:space="0" w:color="auto"/>
        <w:bottom w:val="none" w:sz="0" w:space="0" w:color="auto"/>
        <w:right w:val="none" w:sz="0" w:space="0" w:color="auto"/>
      </w:divBdr>
    </w:div>
    <w:div w:id="20956642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png"/><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png"/><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C2180-F20D-8C47-A067-810C8EA73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153</Pages>
  <Words>161371</Words>
  <Characters>1077960</Characters>
  <Application>Microsoft Office Word</Application>
  <DocSecurity>0</DocSecurity>
  <Lines>14766</Lines>
  <Paragraphs>527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1238804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dc:description/>
  <cp:lastModifiedBy/>
  <cp:revision>1</cp:revision>
  <dcterms:created xsi:type="dcterms:W3CDTF">2024-04-26T17:59:00Z</dcterms:created>
  <dcterms:modified xsi:type="dcterms:W3CDTF">2024-04-26T18:03:00Z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zotero-version="6.0.35"&gt;&lt;session id="aW8cvW4I"/&gt;&lt;style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name="delayCitationUpdates" value="true"/&gt;&lt;pref name="dontAskDelayCitationUpdates" value="true"/&gt;&lt;/prefs&gt;&lt;/data&gt;</vt:lpwstr>
  </property>
</Properties>
</file>